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EB67" w14:textId="6B53D7C9" w:rsidR="00A343F3" w:rsidRDefault="00213F87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МЕТОДИКА ЗА ОПРЕДЕЛЯНЕ НА КОМПЛЕКСНАТА ОЦЕНКА НА ОФЕРТИТЕ</w:t>
      </w:r>
    </w:p>
    <w:p w14:paraId="0BE9E62C" w14:textId="5428E6FB" w:rsidR="00213F87" w:rsidRPr="002116C6" w:rsidRDefault="00F65CE0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2F0D075E" w:rsidR="00EC083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EC083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Доставка на втечнен природен газ</w:t>
      </w:r>
      <w:r w:rsidRPr="00EC08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(LNG) </w:t>
      </w:r>
      <w:r w:rsidRPr="00EC083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нуждите на „Булгаргаз“ ЕАД за месец ноември 2022 г</w:t>
      </w:r>
      <w:r w:rsidRPr="00EC083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14:paraId="21E05BAB" w14:textId="77777777" w:rsidR="00EC083D" w:rsidRPr="00EC083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8347418" w14:textId="4B7ED54F" w:rsidR="0053120D" w:rsidRDefault="00A343F3" w:rsidP="009B7B35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9B7B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Комплексната оценка </w:t>
      </w:r>
      <w:r w:rsidR="0030750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(КО) </w:t>
      </w:r>
      <w:r w:rsidRPr="009B7B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 офертите</w:t>
      </w:r>
      <w:r w:rsidRPr="009B7B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184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9767B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втечнен</w:t>
      </w:r>
      <w:r w:rsidR="0030750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природен газ</w:t>
      </w:r>
      <w:r w:rsidR="009767B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47184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(</w:t>
      </w:r>
      <w:r w:rsidR="00471847">
        <w:rPr>
          <w:rFonts w:ascii="Times New Roman" w:eastAsia="Calibri" w:hAnsi="Times New Roman" w:cs="Times New Roman"/>
          <w:b/>
          <w:bCs/>
          <w:sz w:val="24"/>
          <w:szCs w:val="24"/>
        </w:rPr>
        <w:t>LNG</w:t>
      </w:r>
      <w:r w:rsidR="0047184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)</w:t>
      </w:r>
      <w:r w:rsidRPr="009B7B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B7B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се определя</w:t>
      </w:r>
      <w:r w:rsidRPr="009B7B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B7B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като сумарна стойност на два показателя по формулата</w:t>
      </w:r>
      <w:r w:rsidR="009B54E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0C4A2AB1" w14:textId="77777777" w:rsidR="0053120D" w:rsidRDefault="0053120D" w:rsidP="0053120D">
      <w:pPr>
        <w:pStyle w:val="ListParagraph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7BE6D57" w14:textId="03E60534" w:rsidR="009B54EB" w:rsidRDefault="00A343F3" w:rsidP="0053120D">
      <w:pPr>
        <w:pStyle w:val="ListParagraph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9B7B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9B7B35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</w:p>
    <w:p w14:paraId="1AB801A1" w14:textId="77777777" w:rsidR="009B54EB" w:rsidRDefault="009B54EB" w:rsidP="0053120D">
      <w:pPr>
        <w:pStyle w:val="ListParagraph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0202AAF4" w14:textId="3A94243B" w:rsidR="00A343F3" w:rsidRPr="009B54EB" w:rsidRDefault="009B54EB" w:rsidP="0053120D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4EB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A343F3" w:rsidRPr="009B54EB">
        <w:rPr>
          <w:rFonts w:ascii="Times New Roman" w:eastAsia="Calibri" w:hAnsi="Times New Roman" w:cs="Times New Roman"/>
          <w:sz w:val="24"/>
          <w:szCs w:val="24"/>
          <w:lang w:val="bg-BG"/>
        </w:rPr>
        <w:t>ъдето</w:t>
      </w:r>
      <w:r w:rsidRPr="009B54EB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0E53462D" w14:textId="77777777" w:rsidR="0053120D" w:rsidRPr="009B54EB" w:rsidRDefault="0053120D" w:rsidP="0053120D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B64FF86" w14:textId="1CD2FA1C" w:rsidR="00A343F3" w:rsidRPr="009B54EB" w:rsidRDefault="00A343F3" w:rsidP="0053120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4EB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2CAB89F4" w14:textId="7BC306CA" w:rsidR="00A343F3" w:rsidRDefault="00A343F3" w:rsidP="0004635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4EB">
        <w:rPr>
          <w:rFonts w:ascii="Times New Roman" w:eastAsia="Calibri" w:hAnsi="Times New Roman" w:cs="Times New Roman"/>
          <w:sz w:val="24"/>
          <w:szCs w:val="24"/>
          <w:lang w:val="bg-BG"/>
        </w:rPr>
        <w:t>К2 са предложените условия за плащане</w:t>
      </w:r>
    </w:p>
    <w:p w14:paraId="44365519" w14:textId="77777777" w:rsidR="00BE56AE" w:rsidRPr="009B54EB" w:rsidRDefault="00BE56AE" w:rsidP="0004635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DEB0A4" w14:textId="77777777" w:rsidR="00A343F3" w:rsidRPr="00E216CF" w:rsidRDefault="00A343F3" w:rsidP="00A343F3">
      <w:pPr>
        <w:spacing w:line="257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>За целите на оценката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отстъпката от 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TTF front month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 на офертите, чийто цени  реферират към Henry Hub (HH) (in USD per MMBtu), ще бъде определена както следва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D2B5327" w14:textId="4F235C1A" w:rsidR="00A343F3" w:rsidRPr="00046355" w:rsidRDefault="00A343F3" w:rsidP="00046355">
      <w:pPr>
        <w:pStyle w:val="ListParagraph"/>
        <w:numPr>
          <w:ilvl w:val="0"/>
          <w:numId w:val="2"/>
        </w:numPr>
        <w:tabs>
          <w:tab w:val="left" w:pos="993"/>
        </w:tabs>
        <w:spacing w:line="257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</w:pP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Цената по офертите, рефериращи към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HH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ще бъде изчислена в долари за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MWh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при използване на индекса НН към датата на отваряне на офертите и коефициент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0.293071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за преобразуване от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MMBtu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>към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MWh</w:t>
      </w:r>
      <w:r w:rsid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;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 </w:t>
      </w:r>
    </w:p>
    <w:p w14:paraId="6221D542" w14:textId="77777777" w:rsidR="00A343F3" w:rsidRPr="00E216CF" w:rsidRDefault="00A343F3" w:rsidP="00046355">
      <w:pPr>
        <w:pStyle w:val="ListParagraph"/>
        <w:numPr>
          <w:ilvl w:val="0"/>
          <w:numId w:val="2"/>
        </w:numPr>
        <w:tabs>
          <w:tab w:val="left" w:pos="993"/>
        </w:tabs>
        <w:spacing w:line="257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>След определянето на цената в долари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 същата ще бъде преобразувана в Евро по курса на ЕЦБ в деня на отваряне на офертите. От индекса TTF front month November действащ към датата на отваряне на офертата, ще се извади получената цена в евро, с цел определяне на отстъпката.</w:t>
      </w:r>
    </w:p>
    <w:p w14:paraId="46FF39DD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485BBAE9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Оценката по всеки показател се определя, както следва:</w:t>
      </w:r>
    </w:p>
    <w:p w14:paraId="021E5E81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1C36E1" w14:textId="7E35AD03" w:rsidR="00A343F3" w:rsidRPr="00E216CF" w:rsidRDefault="00A343F3" w:rsidP="00141562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</w:t>
      </w:r>
      <w:r w:rsidR="0004635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о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п</w:t>
      </w:r>
      <w:r w:rsidR="0004635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редложение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относителна тежест в комплексната оценка 80%</w:t>
      </w:r>
    </w:p>
    <w:p w14:paraId="6F724289" w14:textId="41FD42D0" w:rsidR="00A343F3" w:rsidRPr="00E216CF" w:rsidRDefault="00A343F3" w:rsidP="00A343F3">
      <w:pPr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Максимален възможен брой точки </w:t>
      </w:r>
      <w:r w:rsidR="007213A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по показател </w:t>
      </w:r>
      <w:r w:rsid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К1 </w:t>
      </w:r>
      <w:r w:rsidR="007213A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в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комплексната оценка - </w:t>
      </w:r>
      <w:r w:rsidRPr="00E216CF">
        <w:rPr>
          <w:rFonts w:ascii="Times New Roman" w:eastAsia="Calibri" w:hAnsi="Times New Roman" w:cs="Times New Roman"/>
          <w:b/>
          <w:sz w:val="24"/>
          <w:szCs w:val="24"/>
          <w:lang w:val="bg-BG"/>
        </w:rPr>
        <w:t>80 точки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 ще получи офертата на участник, който е предложил най-голяма отстъпка в EUR за MWh към TTF front month November (in EUR per MWh).</w:t>
      </w:r>
    </w:p>
    <w:p w14:paraId="0D6F68B9" w14:textId="77777777" w:rsidR="00A343F3" w:rsidRPr="00E216CF" w:rsidRDefault="00A343F3" w:rsidP="00A343F3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Оценката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този показател се изчислява по формулата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К1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=(</w:t>
      </w:r>
      <w:bookmarkStart w:id="0" w:name="_Hlk114431077"/>
      <w:proofErr w:type="spellStart"/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nX</w:t>
      </w:r>
      <w:bookmarkEnd w:id="0"/>
      <w:proofErr w:type="spellEnd"/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proofErr w:type="spellStart"/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proofErr w:type="spellEnd"/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E216CF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E216C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 където:</w:t>
      </w:r>
    </w:p>
    <w:p w14:paraId="06114ADE" w14:textId="77777777" w:rsidR="00A343F3" w:rsidRPr="00E216CF" w:rsidRDefault="00A343F3" w:rsidP="00A343F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</w:rPr>
        <w:t>n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Х</w:t>
      </w:r>
      <w:r w:rsidRPr="00E21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отстъпката от TTF FM </w:t>
      </w:r>
      <w:r w:rsidRPr="00E216C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</w:t>
      </w:r>
      <w:r w:rsidRPr="00E216C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конкретния участник</w:t>
      </w:r>
    </w:p>
    <w:p w14:paraId="6071C8F7" w14:textId="77777777" w:rsidR="00A343F3" w:rsidRPr="00E216CF" w:rsidRDefault="00A343F3" w:rsidP="00A343F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E216CF">
        <w:rPr>
          <w:rFonts w:ascii="Times New Roman" w:eastAsia="Calibri" w:hAnsi="Times New Roman" w:cs="Times New Roman"/>
          <w:sz w:val="24"/>
          <w:szCs w:val="24"/>
        </w:rPr>
        <w:t>nMax</w:t>
      </w:r>
      <w:proofErr w:type="spellEnd"/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офертата с най-висока предложена отстъпка от TTF front month</w:t>
      </w:r>
    </w:p>
    <w:p w14:paraId="08378CEB" w14:textId="77777777" w:rsidR="00A343F3" w:rsidRPr="00E216CF" w:rsidRDefault="00A343F3" w:rsidP="00A343F3">
      <w:pPr>
        <w:ind w:left="851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625B709" w14:textId="77777777" w:rsidR="00A343F3" w:rsidRPr="00E216CF" w:rsidRDefault="00A343F3" w:rsidP="00A343F3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К2 Условия за плащане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относителна тежест в комплексната оценка 20%</w:t>
      </w:r>
    </w:p>
    <w:p w14:paraId="7FEBBFCA" w14:textId="77777777" w:rsidR="00A343F3" w:rsidRPr="00E216CF" w:rsidRDefault="00A343F3" w:rsidP="00A343F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този показател се определя въз основа на сумарната стойност на два подпоказателя, по формулата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2.1+К2.2,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12299B53" w14:textId="77777777" w:rsidR="00A343F3" w:rsidRPr="00E216CF" w:rsidRDefault="00A343F3" w:rsidP="00A343F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>К2.1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61388B34" w14:textId="77777777" w:rsidR="00A343F3" w:rsidRPr="00E216CF" w:rsidRDefault="00A343F3" w:rsidP="00A343F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К2.2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514131BE" w14:textId="38F6B6E8" w:rsidR="00A343F3" w:rsidRPr="00E216CF" w:rsidRDefault="00A343F3" w:rsidP="00A343F3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Максимален възможен брой точки по показател К2 </w:t>
      </w:r>
      <w:r w:rsid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в комплексната оценка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- 20</w:t>
      </w:r>
      <w:r w:rsidRPr="00E216C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точки</w:t>
      </w:r>
      <w:r w:rsidR="002116C6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4D1E166C" w14:textId="33A5B14A" w:rsidR="00A343F3" w:rsidRPr="00E216CF" w:rsidRDefault="00A343F3" w:rsidP="00A343F3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К2.1 и К2.2: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7928"/>
        <w:gridCol w:w="1418"/>
      </w:tblGrid>
      <w:tr w:rsidR="00A343F3" w:rsidRPr="00E216CF" w14:paraId="6040095E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F0341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К2.1 Авансово плащане</w:t>
            </w:r>
            <w:r w:rsidRPr="00E2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C9C2B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A343F3" w:rsidRPr="00E216CF" w14:paraId="1FCEF526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B43CC8" w14:textId="77777777" w:rsidR="00A343F3" w:rsidRPr="00E216CF" w:rsidRDefault="00A343F3" w:rsidP="004332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Относителната тежест на подпоказател К2.1 е 1/2 от тежестта на показателя К2 или 10% тежест в КО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C9223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43F3" w:rsidRPr="00E216CF" w14:paraId="1C9BFD80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81A1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DAA0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343F3" w:rsidRPr="00E216CF" w14:paraId="53C7EA83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D505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70 %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D92A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A343F3" w:rsidRPr="00E216CF" w14:paraId="55127BE9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7DA8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563F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A343F3" w:rsidRPr="00E216CF" w14:paraId="2FAFA490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8F5B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7D9C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343F3" w:rsidRPr="00E216CF" w14:paraId="137F2801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E875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Без авансово плащане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7034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  <w:tr w:rsidR="00A343F3" w:rsidRPr="00E216CF" w14:paraId="420CEBF5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E5731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К2.2 Срок за плащане след доставката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3BD2A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</w:t>
            </w:r>
          </w:p>
        </w:tc>
      </w:tr>
      <w:tr w:rsidR="00A343F3" w:rsidRPr="00E216CF" w14:paraId="57336DF2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C4E32F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Относителната тежест на подпоказател К2.2 е 1/2 от тежестта на показателя К2 или 10% тежест в КО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C3900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43F3" w:rsidRPr="00E216CF" w14:paraId="791E74EE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DB88D" w14:textId="77777777" w:rsidR="00A343F3" w:rsidRPr="00E216CF" w:rsidRDefault="00A343F3" w:rsidP="004332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 дни при 100% аванс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6DD8AF" w14:textId="77777777" w:rsidR="00A343F3" w:rsidRPr="00E216CF" w:rsidRDefault="00A343F3" w:rsidP="0043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343F3" w:rsidRPr="00E216CF" w14:paraId="13A68796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D9FB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над 5</w:t>
            </w: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2E0D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343F3" w:rsidRPr="00E216CF" w14:paraId="08174600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3751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над 10 дни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169C" w14:textId="77777777" w:rsidR="00A343F3" w:rsidRPr="00E216CF" w:rsidRDefault="00A343F3" w:rsidP="0043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43F3" w:rsidRPr="00E216CF" w14:paraId="2C6912BC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33FB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над 15</w:t>
            </w: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170D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A343F3" w:rsidRPr="00E216CF" w14:paraId="21F4690C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74F0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над 20 дни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EF54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A343F3" w:rsidRPr="00E216CF" w14:paraId="17843A5F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AAE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над 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AD55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</w:tbl>
    <w:p w14:paraId="46C01398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BC9A31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7419D3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400F8D31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2FA86CF7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• по-ниска предложена цена - при по-висока предложена отстъпка в EUR за MWh към TTF front month November; </w:t>
      </w:r>
    </w:p>
    <w:p w14:paraId="6B69033D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плащане.</w:t>
      </w:r>
    </w:p>
    <w:p w14:paraId="53FBEF83" w14:textId="77777777" w:rsidR="00FC4EF1" w:rsidRPr="00283B01" w:rsidRDefault="00FC4EF1" w:rsidP="00345693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46D423A" w14:textId="54C45AA5" w:rsidR="05AD986B" w:rsidRPr="00283B01" w:rsidRDefault="009B7B35" w:rsidP="00345693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83B0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Оценка на </w:t>
      </w:r>
      <w:r w:rsidR="00E12C0D" w:rsidRPr="00283B0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получени оферти за слот за </w:t>
      </w:r>
      <w:r w:rsidR="00A7422A" w:rsidRPr="00283B0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регазификация и съхранение</w:t>
      </w:r>
    </w:p>
    <w:p w14:paraId="141D9E5B" w14:textId="77777777" w:rsidR="00A7422A" w:rsidRPr="00283B01" w:rsidRDefault="00A7422A" w:rsidP="00345693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0754B1D4" w14:textId="4AFB3E7D" w:rsidR="00A7422A" w:rsidRPr="00AC0836" w:rsidRDefault="00A7422A" w:rsidP="00A7422A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Класирането </w:t>
      </w:r>
      <w:r w:rsidR="00DA7C1D">
        <w:rPr>
          <w:rFonts w:ascii="Times New Roman" w:hAnsi="Times New Roman" w:cs="Times New Roman"/>
          <w:lang w:val="bg-BG"/>
        </w:rPr>
        <w:t xml:space="preserve">на офертите </w:t>
      </w:r>
      <w:r w:rsidR="00CB20EA">
        <w:rPr>
          <w:rFonts w:ascii="Times New Roman" w:hAnsi="Times New Roman" w:cs="Times New Roman"/>
          <w:lang w:val="bg-BG"/>
        </w:rPr>
        <w:t>подадени за слотове</w:t>
      </w:r>
      <w:r w:rsidR="00AC0836">
        <w:rPr>
          <w:rFonts w:ascii="Times New Roman" w:hAnsi="Times New Roman" w:cs="Times New Roman"/>
          <w:lang w:val="bg-BG"/>
        </w:rPr>
        <w:t xml:space="preserve"> за регазификация и съхранение ще бъде направено по цена на </w:t>
      </w:r>
      <w:r w:rsidR="00AC0836">
        <w:rPr>
          <w:rFonts w:ascii="Times New Roman" w:hAnsi="Times New Roman" w:cs="Times New Roman"/>
        </w:rPr>
        <w:t>MWh</w:t>
      </w:r>
      <w:r w:rsidR="009C14E5">
        <w:rPr>
          <w:rFonts w:ascii="Times New Roman" w:hAnsi="Times New Roman" w:cs="Times New Roman"/>
          <w:lang w:val="bg-BG"/>
        </w:rPr>
        <w:t>.</w:t>
      </w:r>
      <w:r w:rsidR="0001166B">
        <w:rPr>
          <w:rFonts w:ascii="Times New Roman" w:hAnsi="Times New Roman" w:cs="Times New Roman"/>
          <w:lang w:val="bg-BG"/>
        </w:rPr>
        <w:t xml:space="preserve"> </w:t>
      </w:r>
      <w:r w:rsidR="009C14E5">
        <w:rPr>
          <w:rFonts w:ascii="Times New Roman" w:hAnsi="Times New Roman" w:cs="Times New Roman"/>
          <w:lang w:val="bg-BG"/>
        </w:rPr>
        <w:t xml:space="preserve"> </w:t>
      </w:r>
      <w:r w:rsidR="00D8371F">
        <w:rPr>
          <w:rFonts w:ascii="Times New Roman" w:hAnsi="Times New Roman" w:cs="Times New Roman"/>
          <w:lang w:val="bg-BG"/>
        </w:rPr>
        <w:t xml:space="preserve">За </w:t>
      </w:r>
      <w:r w:rsidR="00D8371F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="00A32CAF"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ай-</w:t>
      </w:r>
      <w:r w:rsidR="0039290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добра оферта </w:t>
      </w:r>
      <w:r w:rsidR="00304DB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слот </w:t>
      </w:r>
      <w:r w:rsidR="00283B01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392908">
        <w:rPr>
          <w:rFonts w:ascii="Times New Roman" w:eastAsia="Calibri" w:hAnsi="Times New Roman" w:cs="Times New Roman"/>
          <w:sz w:val="24"/>
          <w:szCs w:val="24"/>
          <w:lang w:val="bg-BG"/>
        </w:rPr>
        <w:t>е приема оферта</w:t>
      </w:r>
      <w:r w:rsidR="00D8371F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="0039290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най-ниска цена на </w:t>
      </w:r>
      <w:r w:rsidR="00D8371F">
        <w:rPr>
          <w:rFonts w:ascii="Times New Roman" w:eastAsia="Calibri" w:hAnsi="Times New Roman" w:cs="Times New Roman"/>
          <w:sz w:val="24"/>
          <w:szCs w:val="24"/>
        </w:rPr>
        <w:t xml:space="preserve">MWh. </w:t>
      </w:r>
    </w:p>
    <w:sectPr w:rsidR="00A7422A" w:rsidRPr="00AC0836" w:rsidSect="00213F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9E23" w14:textId="77777777" w:rsidR="00E37AD6" w:rsidRDefault="00E37AD6" w:rsidP="00A343F3">
      <w:pPr>
        <w:spacing w:after="0" w:line="240" w:lineRule="auto"/>
      </w:pPr>
      <w:r>
        <w:separator/>
      </w:r>
    </w:p>
  </w:endnote>
  <w:endnote w:type="continuationSeparator" w:id="0">
    <w:p w14:paraId="462080E2" w14:textId="77777777" w:rsidR="00E37AD6" w:rsidRDefault="00E37AD6" w:rsidP="00A3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5692" w14:textId="77777777" w:rsidR="00C85685" w:rsidRDefault="00C85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7A8" w14:textId="77777777" w:rsidR="00C85685" w:rsidRDefault="00C856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A566" w14:textId="77777777" w:rsidR="00C85685" w:rsidRDefault="00C85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A80B" w14:textId="77777777" w:rsidR="00E37AD6" w:rsidRDefault="00E37AD6" w:rsidP="00A343F3">
      <w:pPr>
        <w:spacing w:after="0" w:line="240" w:lineRule="auto"/>
      </w:pPr>
      <w:r>
        <w:separator/>
      </w:r>
    </w:p>
  </w:footnote>
  <w:footnote w:type="continuationSeparator" w:id="0">
    <w:p w14:paraId="394BE72C" w14:textId="77777777" w:rsidR="00E37AD6" w:rsidRDefault="00E37AD6" w:rsidP="00A3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0848" w14:textId="77777777" w:rsidR="00C85685" w:rsidRDefault="00C85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43348336" w:rsidR="00A343F3" w:rsidRPr="00213F87" w:rsidRDefault="00A343F3" w:rsidP="002116C6">
    <w:pPr>
      <w:pStyle w:val="Header"/>
      <w:jc w:val="center"/>
      <w:rPr>
        <w:sz w:val="20"/>
        <w:szCs w:val="20"/>
        <w:lang w:val="bg-BG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C745AE">
      <w:rPr>
        <w:rFonts w:ascii="Times New Roman" w:hAnsi="Times New Roman" w:cs="Times New Roman"/>
        <w:i/>
        <w:iCs/>
        <w:sz w:val="20"/>
        <w:szCs w:val="20"/>
        <w:lang w:val="bg-BG"/>
      </w:rPr>
      <w:t>3</w:t>
    </w:r>
    <w:r>
      <w:rPr>
        <w:lang w:val="bg-BG"/>
      </w:rPr>
      <w:t xml:space="preserve">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FD1E" w14:textId="77777777" w:rsidR="00C85685" w:rsidRDefault="00C85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480492"/>
    <w:multiLevelType w:val="hybridMultilevel"/>
    <w:tmpl w:val="E58A87C0"/>
    <w:lvl w:ilvl="0" w:tplc="7952C3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5D5F4B"/>
    <w:multiLevelType w:val="hybridMultilevel"/>
    <w:tmpl w:val="23C0CD4E"/>
    <w:lvl w:ilvl="0" w:tplc="B6463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17328688">
    <w:abstractNumId w:val="3"/>
  </w:num>
  <w:num w:numId="2" w16cid:durableId="2128115490">
    <w:abstractNumId w:val="0"/>
  </w:num>
  <w:num w:numId="3" w16cid:durableId="962229360">
    <w:abstractNumId w:val="1"/>
  </w:num>
  <w:num w:numId="4" w16cid:durableId="529301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1166B"/>
    <w:rsid w:val="00046355"/>
    <w:rsid w:val="00064B53"/>
    <w:rsid w:val="00141562"/>
    <w:rsid w:val="00200C33"/>
    <w:rsid w:val="002116C6"/>
    <w:rsid w:val="00213F87"/>
    <w:rsid w:val="00283B01"/>
    <w:rsid w:val="002F3D12"/>
    <w:rsid w:val="00304DB5"/>
    <w:rsid w:val="00307500"/>
    <w:rsid w:val="00345693"/>
    <w:rsid w:val="00392908"/>
    <w:rsid w:val="00471847"/>
    <w:rsid w:val="0053120D"/>
    <w:rsid w:val="007213A6"/>
    <w:rsid w:val="008148A6"/>
    <w:rsid w:val="008546CD"/>
    <w:rsid w:val="009767BB"/>
    <w:rsid w:val="009B54EB"/>
    <w:rsid w:val="009B7B35"/>
    <w:rsid w:val="009C14E5"/>
    <w:rsid w:val="00A32CAF"/>
    <w:rsid w:val="00A343F3"/>
    <w:rsid w:val="00A7422A"/>
    <w:rsid w:val="00AC0836"/>
    <w:rsid w:val="00B575F8"/>
    <w:rsid w:val="00BE56AE"/>
    <w:rsid w:val="00C745AE"/>
    <w:rsid w:val="00C85685"/>
    <w:rsid w:val="00CB20EA"/>
    <w:rsid w:val="00D8371F"/>
    <w:rsid w:val="00DA7C1D"/>
    <w:rsid w:val="00E12C0D"/>
    <w:rsid w:val="00E37AD6"/>
    <w:rsid w:val="00EC083D"/>
    <w:rsid w:val="00F65CE0"/>
    <w:rsid w:val="00FC4EF1"/>
    <w:rsid w:val="05AD986B"/>
    <w:rsid w:val="5D2B8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E2C99-502E-4185-A255-15D53D1A2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7A0D3-5905-435D-806A-035F5A1E4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2196A3-625A-483F-B7C8-3B4C482F1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512</Words>
  <Characters>2925</Characters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2022-09-20T04:49:00Z</dcterms:created>
  <dcterms:modified xsi:type="dcterms:W3CDTF">2022-09-20T11:47:00Z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