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777D" w14:textId="77777777" w:rsidR="009958F2" w:rsidRDefault="009958F2"/>
    <w:p w14:paraId="65284F31" w14:textId="7C085BD4" w:rsidR="009958F2" w:rsidRPr="005275D3" w:rsidRDefault="009958F2" w:rsidP="009958F2">
      <w:pPr>
        <w:pStyle w:val="Style38"/>
        <w:widowControl/>
        <w:jc w:val="right"/>
        <w:rPr>
          <w:b/>
        </w:rPr>
      </w:pPr>
      <w:r w:rsidRPr="005275D3">
        <w:rPr>
          <w:b/>
        </w:rPr>
        <w:t>Приложение №</w:t>
      </w:r>
      <w:r w:rsidR="00C80157" w:rsidRPr="005275D3">
        <w:rPr>
          <w:b/>
        </w:rPr>
        <w:t xml:space="preserve"> </w:t>
      </w:r>
      <w:r w:rsidRPr="005275D3">
        <w:rPr>
          <w:b/>
        </w:rPr>
        <w:t>2</w:t>
      </w:r>
    </w:p>
    <w:p w14:paraId="65284F32" w14:textId="77777777" w:rsidR="009958F2" w:rsidRPr="005275D3" w:rsidRDefault="009958F2" w:rsidP="009958F2">
      <w:pPr>
        <w:pStyle w:val="Header"/>
        <w:jc w:val="center"/>
        <w:rPr>
          <w:b/>
        </w:rPr>
      </w:pPr>
    </w:p>
    <w:p w14:paraId="65284F33" w14:textId="562AFFF6" w:rsidR="009958F2" w:rsidRPr="005275D3" w:rsidRDefault="009958F2" w:rsidP="009958F2">
      <w:pPr>
        <w:pStyle w:val="Header"/>
        <w:jc w:val="center"/>
        <w:rPr>
          <w:b/>
        </w:rPr>
      </w:pPr>
      <w:r w:rsidRPr="005275D3">
        <w:rPr>
          <w:b/>
        </w:rPr>
        <w:t>ОФЕРТА</w:t>
      </w:r>
    </w:p>
    <w:p w14:paraId="65284F34" w14:textId="77777777" w:rsidR="009958F2" w:rsidRPr="005275D3" w:rsidRDefault="009958F2" w:rsidP="009958F2">
      <w:pPr>
        <w:pStyle w:val="Header"/>
        <w:jc w:val="center"/>
        <w:rPr>
          <w:b/>
        </w:rPr>
      </w:pPr>
    </w:p>
    <w:p w14:paraId="5C958053" w14:textId="58A36134" w:rsidR="00C86370" w:rsidRPr="005275D3" w:rsidRDefault="00C86370" w:rsidP="00C86370">
      <w:pPr>
        <w:pStyle w:val="Header"/>
        <w:contextualSpacing/>
        <w:jc w:val="center"/>
        <w:rPr>
          <w:b/>
          <w:lang w:eastAsia="bg-BG"/>
        </w:rPr>
      </w:pPr>
      <w:bookmarkStart w:id="0" w:name="_Hlk123659797"/>
      <w:r w:rsidRPr="005275D3">
        <w:rPr>
          <w:b/>
          <w:lang w:eastAsia="bg-BG"/>
        </w:rPr>
        <w:t xml:space="preserve">За предоставяне на финансова услуга </w:t>
      </w:r>
      <w:r w:rsidR="00636245" w:rsidRPr="005275D3">
        <w:rPr>
          <w:b/>
          <w:lang w:eastAsia="bg-BG"/>
        </w:rPr>
        <w:t>–</w:t>
      </w:r>
      <w:r w:rsidR="00EA0142" w:rsidRPr="005275D3">
        <w:rPr>
          <w:b/>
          <w:lang w:eastAsia="bg-BG"/>
        </w:rPr>
        <w:t>-</w:t>
      </w:r>
      <w:r w:rsidR="00FE6E34" w:rsidRPr="005275D3">
        <w:rPr>
          <w:b/>
          <w:lang w:eastAsia="bg-BG"/>
        </w:rPr>
        <w:t xml:space="preserve"> кредит</w:t>
      </w:r>
      <w:r w:rsidRPr="005275D3">
        <w:rPr>
          <w:b/>
          <w:lang w:eastAsia="bg-BG"/>
        </w:rPr>
        <w:t xml:space="preserve">, </w:t>
      </w:r>
      <w:r w:rsidR="00EA0142" w:rsidRPr="005275D3">
        <w:rPr>
          <w:b/>
          <w:lang w:eastAsia="bg-BG"/>
        </w:rPr>
        <w:t>обезпечен с държавна гаранция</w:t>
      </w:r>
      <w:bookmarkEnd w:id="0"/>
    </w:p>
    <w:p w14:paraId="65284F36" w14:textId="77777777" w:rsidR="009958F2" w:rsidRPr="005275D3" w:rsidRDefault="009958F2" w:rsidP="009958F2">
      <w:pPr>
        <w:pStyle w:val="Style5"/>
        <w:widowControl/>
        <w:spacing w:before="161" w:line="240" w:lineRule="auto"/>
        <w:ind w:right="32"/>
        <w:jc w:val="both"/>
        <w:rPr>
          <w:b/>
        </w:rPr>
      </w:pPr>
    </w:p>
    <w:p w14:paraId="65284F37" w14:textId="368A462A" w:rsidR="009958F2" w:rsidRPr="005275D3" w:rsidRDefault="009958F2" w:rsidP="009958F2">
      <w:pPr>
        <w:pStyle w:val="Style5"/>
        <w:widowControl/>
        <w:spacing w:before="161" w:line="240" w:lineRule="auto"/>
        <w:ind w:right="32"/>
        <w:jc w:val="both"/>
        <w:rPr>
          <w:b/>
        </w:rPr>
      </w:pPr>
      <w:r w:rsidRPr="005275D3">
        <w:rPr>
          <w:b/>
        </w:rPr>
        <w:t>……………………………………………………………………………………………………</w:t>
      </w:r>
    </w:p>
    <w:p w14:paraId="65284F38" w14:textId="71B28E26" w:rsidR="009958F2" w:rsidRPr="005275D3" w:rsidRDefault="009958F2" w:rsidP="009958F2">
      <w:pPr>
        <w:jc w:val="center"/>
      </w:pPr>
      <w:r w:rsidRPr="005275D3">
        <w:t>/</w:t>
      </w:r>
      <w:r w:rsidR="00EA0142" w:rsidRPr="005275D3">
        <w:t>наименование</w:t>
      </w:r>
      <w:r w:rsidRPr="005275D3">
        <w:t xml:space="preserve"> на участника</w:t>
      </w:r>
      <w:r w:rsidR="00847E96" w:rsidRPr="005275D3">
        <w:t xml:space="preserve"> в процедурата</w:t>
      </w:r>
      <w:r w:rsidRPr="005275D3">
        <w:t>/</w:t>
      </w:r>
    </w:p>
    <w:p w14:paraId="65284F3A" w14:textId="489D3BEA" w:rsidR="009958F2" w:rsidRPr="005275D3" w:rsidRDefault="00EA0142" w:rsidP="009958F2">
      <w:pPr>
        <w:pBdr>
          <w:bottom w:val="dotted" w:sz="4" w:space="1" w:color="auto"/>
        </w:pBdr>
        <w:spacing w:before="120"/>
        <w:rPr>
          <w:b/>
        </w:rPr>
      </w:pPr>
      <w:r w:rsidRPr="005275D3">
        <w:t>ЕИК</w:t>
      </w:r>
    </w:p>
    <w:p w14:paraId="65284F3B" w14:textId="2183F5B5" w:rsidR="009958F2" w:rsidRPr="005275D3" w:rsidRDefault="009958F2" w:rsidP="009958F2">
      <w:pPr>
        <w:jc w:val="center"/>
      </w:pPr>
    </w:p>
    <w:p w14:paraId="65284F3C" w14:textId="170A1C8A" w:rsidR="009958F2" w:rsidRPr="005275D3" w:rsidRDefault="00EA0142" w:rsidP="009958F2">
      <w:pPr>
        <w:pBdr>
          <w:bottom w:val="dotted" w:sz="4" w:space="1" w:color="auto"/>
        </w:pBdr>
        <w:spacing w:before="120"/>
        <w:jc w:val="both"/>
        <w:rPr>
          <w:b/>
        </w:rPr>
      </w:pPr>
      <w:r w:rsidRPr="005275D3">
        <w:t>адрес на управление</w:t>
      </w:r>
    </w:p>
    <w:p w14:paraId="65284F3D" w14:textId="7C70609A" w:rsidR="009958F2" w:rsidRPr="005275D3" w:rsidRDefault="009958F2" w:rsidP="009958F2">
      <w:pPr>
        <w:jc w:val="center"/>
      </w:pPr>
    </w:p>
    <w:p w14:paraId="5B5B4BD6" w14:textId="2F59809C" w:rsidR="00EA0142" w:rsidRPr="005275D3" w:rsidRDefault="00EA0142" w:rsidP="009958F2">
      <w:pPr>
        <w:jc w:val="center"/>
      </w:pPr>
    </w:p>
    <w:p w14:paraId="3F62101D" w14:textId="6C35CB8F" w:rsidR="00EA0142" w:rsidRPr="005275D3" w:rsidRDefault="00EA0142" w:rsidP="00EA0142">
      <w:pPr>
        <w:pBdr>
          <w:bottom w:val="dotted" w:sz="4" w:space="1" w:color="auto"/>
        </w:pBdr>
        <w:spacing w:before="120"/>
        <w:jc w:val="both"/>
        <w:rPr>
          <w:bCs/>
        </w:rPr>
      </w:pPr>
      <w:r w:rsidRPr="005275D3">
        <w:rPr>
          <w:bCs/>
        </w:rPr>
        <w:t xml:space="preserve">представляван от </w:t>
      </w:r>
    </w:p>
    <w:p w14:paraId="3010FDF4" w14:textId="54DA2C93" w:rsidR="00EA0142" w:rsidRPr="005275D3" w:rsidRDefault="00EA0142" w:rsidP="00EA0142">
      <w:pPr>
        <w:jc w:val="center"/>
      </w:pPr>
      <w:r w:rsidRPr="005275D3">
        <w:t>/име</w:t>
      </w:r>
      <w:r w:rsidR="00636245" w:rsidRPr="005275D3">
        <w:t>на</w:t>
      </w:r>
      <w:r w:rsidRPr="005275D3">
        <w:t>, длъжност/</w:t>
      </w:r>
    </w:p>
    <w:p w14:paraId="17A7B3D8" w14:textId="77777777" w:rsidR="00EA0142" w:rsidRPr="005275D3" w:rsidRDefault="00EA0142" w:rsidP="009958F2">
      <w:pPr>
        <w:jc w:val="center"/>
      </w:pPr>
    </w:p>
    <w:p w14:paraId="13223D00" w14:textId="1DC817FA" w:rsidR="00BC4B81" w:rsidRPr="005275D3" w:rsidRDefault="00453419" w:rsidP="009958F2">
      <w:pPr>
        <w:spacing w:before="120"/>
        <w:rPr>
          <w:b/>
        </w:rPr>
      </w:pPr>
      <w:r w:rsidRPr="005275D3">
        <w:rPr>
          <w:b/>
        </w:rPr>
        <w:t>Уважаем</w:t>
      </w:r>
      <w:r w:rsidR="009B3214" w:rsidRPr="005275D3">
        <w:rPr>
          <w:b/>
        </w:rPr>
        <w:t>и</w:t>
      </w:r>
      <w:r w:rsidRPr="005275D3">
        <w:rPr>
          <w:b/>
        </w:rPr>
        <w:t xml:space="preserve"> госпожи и господа,</w:t>
      </w:r>
    </w:p>
    <w:p w14:paraId="13F78F3C" w14:textId="77777777" w:rsidR="00453419" w:rsidRPr="005275D3" w:rsidRDefault="00453419" w:rsidP="009958F2">
      <w:pPr>
        <w:spacing w:before="120"/>
        <w:rPr>
          <w:b/>
        </w:rPr>
      </w:pPr>
    </w:p>
    <w:p w14:paraId="13191F4A" w14:textId="09E93FC9" w:rsidR="00606105" w:rsidRPr="005275D3" w:rsidRDefault="00BD67CB" w:rsidP="00932B78">
      <w:pPr>
        <w:spacing w:before="120"/>
        <w:jc w:val="both"/>
        <w:rPr>
          <w:bCs/>
        </w:rPr>
      </w:pPr>
      <w:r w:rsidRPr="005275D3">
        <w:rPr>
          <w:bCs/>
        </w:rPr>
        <w:t xml:space="preserve">Представяме нашето предложение за предоставяне на финансова услуга – кредит, </w:t>
      </w:r>
      <w:r w:rsidR="009B3214" w:rsidRPr="005275D3">
        <w:rPr>
          <w:bCs/>
        </w:rPr>
        <w:t xml:space="preserve">тип овърдрафт </w:t>
      </w:r>
      <w:r w:rsidRPr="005275D3">
        <w:rPr>
          <w:bCs/>
        </w:rPr>
        <w:t>обезпечен с държавна гаранция</w:t>
      </w:r>
      <w:r w:rsidR="007C36CA" w:rsidRPr="005275D3">
        <w:rPr>
          <w:bCs/>
        </w:rPr>
        <w:t>,</w:t>
      </w:r>
      <w:r w:rsidRPr="005275D3">
        <w:rPr>
          <w:bCs/>
        </w:rPr>
        <w:t xml:space="preserve"> в съответствие с изискванията, посочени в Поканата за подаване на оферт</w:t>
      </w:r>
      <w:r w:rsidR="00606105" w:rsidRPr="005275D3">
        <w:rPr>
          <w:bCs/>
        </w:rPr>
        <w:t>и.</w:t>
      </w:r>
    </w:p>
    <w:p w14:paraId="4364E28F" w14:textId="69AF0E27" w:rsidR="008B26AD" w:rsidRPr="005275D3" w:rsidRDefault="00BD67CB" w:rsidP="00606105">
      <w:pPr>
        <w:spacing w:before="120"/>
        <w:rPr>
          <w:b/>
        </w:rPr>
      </w:pPr>
      <w:r w:rsidRPr="005275D3">
        <w:rPr>
          <w:b/>
        </w:rPr>
        <w:t xml:space="preserve">I. </w:t>
      </w:r>
      <w:r w:rsidR="007C36CA" w:rsidRPr="005275D3">
        <w:rPr>
          <w:b/>
        </w:rPr>
        <w:t>Заявяваме, че сме в състояние да предоставим финансовата услуг</w:t>
      </w:r>
      <w:r w:rsidR="007A2B90" w:rsidRPr="005275D3">
        <w:rPr>
          <w:b/>
        </w:rPr>
        <w:t xml:space="preserve">а и </w:t>
      </w:r>
      <w:r w:rsidR="007C36CA" w:rsidRPr="005275D3">
        <w:rPr>
          <w:b/>
        </w:rPr>
        <w:t xml:space="preserve">отговаряме на </w:t>
      </w:r>
      <w:r w:rsidR="007A2B90" w:rsidRPr="005275D3">
        <w:rPr>
          <w:b/>
        </w:rPr>
        <w:t>изискванията</w:t>
      </w:r>
      <w:r w:rsidR="007C36CA" w:rsidRPr="005275D3">
        <w:rPr>
          <w:b/>
        </w:rPr>
        <w:t xml:space="preserve"> за допустимост</w:t>
      </w:r>
      <w:r w:rsidR="007A2B90" w:rsidRPr="005275D3">
        <w:rPr>
          <w:b/>
        </w:rPr>
        <w:t>, заложени в Поканата за предоставяне на оферти.</w:t>
      </w:r>
    </w:p>
    <w:p w14:paraId="60E46DCC" w14:textId="656D777B" w:rsidR="007A2B90" w:rsidRPr="005275D3" w:rsidRDefault="007A2B90" w:rsidP="0087554C">
      <w:pPr>
        <w:pStyle w:val="Style8"/>
        <w:widowControl/>
        <w:numPr>
          <w:ilvl w:val="1"/>
          <w:numId w:val="4"/>
        </w:numPr>
        <w:tabs>
          <w:tab w:val="left" w:pos="709"/>
        </w:tabs>
        <w:spacing w:before="120" w:after="120" w:line="276" w:lineRule="auto"/>
        <w:ind w:left="709" w:hanging="425"/>
        <w:rPr>
          <w:bCs/>
        </w:rPr>
      </w:pPr>
      <w:r w:rsidRPr="005275D3">
        <w:rPr>
          <w:bCs/>
        </w:rPr>
        <w:t>Участникът, съответно участниците в обединението:</w:t>
      </w:r>
    </w:p>
    <w:p w14:paraId="4753D6AC" w14:textId="28D63799" w:rsidR="007A2B90" w:rsidRPr="005275D3" w:rsidRDefault="00000000" w:rsidP="0087554C">
      <w:pPr>
        <w:spacing w:before="120"/>
        <w:ind w:left="709"/>
        <w:rPr>
          <w:bCs/>
        </w:rPr>
      </w:pPr>
      <w:sdt>
        <w:sdtPr>
          <w:rPr>
            <w:b/>
          </w:rPr>
          <w:id w:val="2029453829"/>
          <w14:checkbox>
            <w14:checked w14:val="0"/>
            <w14:checkedState w14:val="2612" w14:font="MS Gothic"/>
            <w14:uncheckedState w14:val="2610" w14:font="MS Gothic"/>
          </w14:checkbox>
        </w:sdtPr>
        <w:sdtContent>
          <w:r w:rsidR="007A2B90" w:rsidRPr="005275D3">
            <w:rPr>
              <w:rFonts w:ascii="MS Gothic" w:eastAsia="MS Gothic" w:hAnsi="MS Gothic"/>
              <w:b/>
            </w:rPr>
            <w:t>☐</w:t>
          </w:r>
        </w:sdtContent>
      </w:sdt>
      <w:r w:rsidR="007A2B90" w:rsidRPr="005275D3">
        <w:rPr>
          <w:bCs/>
        </w:rPr>
        <w:t xml:space="preserve"> има право да извършва банкова дейност съгласно лиценз на БНБ/разрешение на компетентния орган на държава членка: ……………………………………………..</w:t>
      </w:r>
    </w:p>
    <w:p w14:paraId="2262C596" w14:textId="6B7C8131" w:rsidR="007A2B90" w:rsidRPr="005275D3" w:rsidRDefault="00DA2C13" w:rsidP="0087554C">
      <w:pPr>
        <w:spacing w:before="120"/>
        <w:ind w:left="709" w:firstLine="720"/>
        <w:rPr>
          <w:bCs/>
          <w:i/>
          <w:iCs/>
        </w:rPr>
      </w:pPr>
      <w:r w:rsidRPr="005275D3">
        <w:rPr>
          <w:bCs/>
          <w:i/>
          <w:iCs/>
        </w:rPr>
        <w:t xml:space="preserve">* </w:t>
      </w:r>
      <w:r w:rsidR="007A2B90" w:rsidRPr="005275D3">
        <w:rPr>
          <w:bCs/>
          <w:i/>
          <w:iCs/>
        </w:rPr>
        <w:t>посочват се данни на документа за банкова дейност</w:t>
      </w:r>
    </w:p>
    <w:p w14:paraId="25C02118" w14:textId="3630065F" w:rsidR="007A2B90" w:rsidRPr="005275D3" w:rsidRDefault="007A2B90" w:rsidP="0087554C">
      <w:pPr>
        <w:spacing w:before="120"/>
        <w:ind w:left="709"/>
        <w:rPr>
          <w:bCs/>
        </w:rPr>
      </w:pPr>
      <w:r w:rsidRPr="005275D3">
        <w:rPr>
          <w:bCs/>
        </w:rPr>
        <w:t>или</w:t>
      </w:r>
    </w:p>
    <w:p w14:paraId="61360C3B" w14:textId="77777777" w:rsidR="00273C8A" w:rsidRPr="005275D3" w:rsidRDefault="00000000" w:rsidP="007A2B90">
      <w:pPr>
        <w:spacing w:before="120"/>
        <w:ind w:left="709"/>
        <w:rPr>
          <w:bCs/>
        </w:rPr>
      </w:pPr>
      <w:sdt>
        <w:sdtPr>
          <w:rPr>
            <w:b/>
          </w:rPr>
          <w:id w:val="-1280180593"/>
          <w14:checkbox>
            <w14:checked w14:val="0"/>
            <w14:checkedState w14:val="2612" w14:font="MS Gothic"/>
            <w14:uncheckedState w14:val="2610" w14:font="MS Gothic"/>
          </w14:checkbox>
        </w:sdtPr>
        <w:sdtContent>
          <w:r w:rsidR="007A2B90" w:rsidRPr="005275D3">
            <w:rPr>
              <w:rFonts w:ascii="MS Gothic" w:eastAsia="MS Gothic" w:hAnsi="MS Gothic"/>
              <w:b/>
            </w:rPr>
            <w:t>☐</w:t>
          </w:r>
        </w:sdtContent>
      </w:sdt>
      <w:r w:rsidR="007A2B90" w:rsidRPr="005275D3">
        <w:rPr>
          <w:bCs/>
        </w:rPr>
        <w:t xml:space="preserve"> е международна финансова организация, оперираща на територията на Република България на база сключено и ратифицирано междуправителствено споразумение/спогодба, както следва:</w:t>
      </w:r>
      <w:r w:rsidR="00273C8A" w:rsidRPr="005275D3">
        <w:rPr>
          <w:bCs/>
        </w:rPr>
        <w:t xml:space="preserve"> </w:t>
      </w:r>
    </w:p>
    <w:p w14:paraId="1EEF872A" w14:textId="34ACB8B0" w:rsidR="007A2B90" w:rsidRPr="005275D3" w:rsidRDefault="007A2B90" w:rsidP="007A2B90">
      <w:pPr>
        <w:spacing w:before="120"/>
        <w:ind w:left="709"/>
        <w:rPr>
          <w:bCs/>
        </w:rPr>
      </w:pPr>
      <w:r w:rsidRPr="005275D3">
        <w:rPr>
          <w:bCs/>
        </w:rPr>
        <w:t>…………………………………………………………………………….</w:t>
      </w:r>
    </w:p>
    <w:p w14:paraId="175E4D2F" w14:textId="3565F237" w:rsidR="007A2B90" w:rsidRPr="005275D3" w:rsidRDefault="007A2B90" w:rsidP="007A2B90">
      <w:pPr>
        <w:spacing w:before="120"/>
        <w:rPr>
          <w:i/>
          <w:iCs/>
        </w:rPr>
      </w:pPr>
      <w:r w:rsidRPr="005275D3">
        <w:rPr>
          <w:i/>
          <w:iCs/>
        </w:rPr>
        <w:t>* Участниците избират и попълват приложимото за тях</w:t>
      </w:r>
      <w:r w:rsidR="00380833" w:rsidRPr="005275D3">
        <w:rPr>
          <w:i/>
          <w:iCs/>
        </w:rPr>
        <w:t xml:space="preserve">; за обединения се посочва информация за всички участници в обединението. </w:t>
      </w:r>
    </w:p>
    <w:p w14:paraId="2309E619" w14:textId="72967EF4" w:rsidR="00380833" w:rsidRPr="005275D3" w:rsidRDefault="00380833" w:rsidP="0087554C">
      <w:pPr>
        <w:pStyle w:val="Style8"/>
        <w:widowControl/>
        <w:numPr>
          <w:ilvl w:val="1"/>
          <w:numId w:val="4"/>
        </w:numPr>
        <w:tabs>
          <w:tab w:val="left" w:pos="709"/>
        </w:tabs>
        <w:spacing w:before="120" w:after="120" w:line="276" w:lineRule="auto"/>
        <w:ind w:left="709" w:hanging="425"/>
        <w:rPr>
          <w:bCs/>
        </w:rPr>
      </w:pPr>
      <w:r w:rsidRPr="005275D3">
        <w:t>Участникът има кредитен рейтинг ………………………………………………..</w:t>
      </w:r>
    </w:p>
    <w:p w14:paraId="13B4D317" w14:textId="157F942E" w:rsidR="00453419" w:rsidRPr="005275D3" w:rsidRDefault="008B26AD" w:rsidP="009958F2">
      <w:pPr>
        <w:spacing w:before="120"/>
        <w:rPr>
          <w:b/>
        </w:rPr>
      </w:pPr>
      <w:r w:rsidRPr="005275D3">
        <w:rPr>
          <w:b/>
        </w:rPr>
        <w:t xml:space="preserve">II. </w:t>
      </w:r>
      <w:r w:rsidR="00BD67CB" w:rsidRPr="005275D3">
        <w:rPr>
          <w:b/>
        </w:rPr>
        <w:t>Съгласни сме да предоставим финансовата услуга при следните условия:</w:t>
      </w:r>
    </w:p>
    <w:p w14:paraId="09D026E2" w14:textId="577B4737" w:rsidR="00BD67CB" w:rsidRPr="005275D3" w:rsidRDefault="00BD67CB" w:rsidP="00BD67CB">
      <w:pPr>
        <w:pStyle w:val="Style8"/>
        <w:widowControl/>
        <w:numPr>
          <w:ilvl w:val="1"/>
          <w:numId w:val="4"/>
        </w:numPr>
        <w:tabs>
          <w:tab w:val="left" w:pos="709"/>
        </w:tabs>
        <w:spacing w:before="120" w:after="120" w:line="276" w:lineRule="auto"/>
        <w:ind w:left="709" w:hanging="425"/>
        <w:rPr>
          <w:bCs/>
        </w:rPr>
      </w:pPr>
      <w:r w:rsidRPr="005275D3">
        <w:rPr>
          <w:b/>
        </w:rPr>
        <w:t xml:space="preserve">Вид на кредита: </w:t>
      </w:r>
      <w:r w:rsidRPr="005275D3">
        <w:rPr>
          <w:bCs/>
        </w:rPr>
        <w:t>оборотен кредит</w:t>
      </w:r>
      <w:r w:rsidR="000918A0" w:rsidRPr="005275D3">
        <w:rPr>
          <w:bCs/>
        </w:rPr>
        <w:t>, тип овърдрафт</w:t>
      </w:r>
      <w:r w:rsidR="00192FE4" w:rsidRPr="005275D3">
        <w:rPr>
          <w:bCs/>
        </w:rPr>
        <w:t>,</w:t>
      </w:r>
      <w:r w:rsidRPr="005275D3">
        <w:rPr>
          <w:bCs/>
        </w:rPr>
        <w:t xml:space="preserve"> </w:t>
      </w:r>
      <w:r w:rsidR="00192FE4" w:rsidRPr="005275D3">
        <w:rPr>
          <w:bCs/>
        </w:rPr>
        <w:t xml:space="preserve">обезпечен </w:t>
      </w:r>
      <w:r w:rsidRPr="005275D3">
        <w:rPr>
          <w:bCs/>
        </w:rPr>
        <w:t>с държавна гаранция.</w:t>
      </w:r>
    </w:p>
    <w:p w14:paraId="11706E44" w14:textId="77777777" w:rsidR="00BD67CB" w:rsidRPr="005275D3" w:rsidRDefault="00BD67CB" w:rsidP="00BD67CB">
      <w:pPr>
        <w:pStyle w:val="Style8"/>
        <w:widowControl/>
        <w:numPr>
          <w:ilvl w:val="1"/>
          <w:numId w:val="4"/>
        </w:numPr>
        <w:tabs>
          <w:tab w:val="left" w:pos="709"/>
        </w:tabs>
        <w:spacing w:before="120" w:after="120" w:line="276" w:lineRule="auto"/>
        <w:ind w:left="709" w:hanging="425"/>
        <w:rPr>
          <w:b/>
        </w:rPr>
      </w:pPr>
      <w:r w:rsidRPr="005275D3">
        <w:rPr>
          <w:b/>
        </w:rPr>
        <w:t xml:space="preserve">Максимален размер на кредита: </w:t>
      </w:r>
      <w:r w:rsidRPr="005275D3">
        <w:rPr>
          <w:bCs/>
        </w:rPr>
        <w:t>до</w:t>
      </w:r>
      <w:r w:rsidRPr="005275D3">
        <w:rPr>
          <w:b/>
        </w:rPr>
        <w:t xml:space="preserve"> </w:t>
      </w:r>
      <w:r w:rsidRPr="005275D3">
        <w:rPr>
          <w:bCs/>
        </w:rPr>
        <w:t>1</w:t>
      </w:r>
      <w:r w:rsidRPr="005275D3">
        <w:t>50 000 000,00 (сто и петдесет милиона) евро.</w:t>
      </w:r>
    </w:p>
    <w:p w14:paraId="2142E917" w14:textId="5367AB1C" w:rsidR="00BD67CB" w:rsidRPr="005275D3" w:rsidRDefault="00BD67CB" w:rsidP="00BD67CB">
      <w:pPr>
        <w:pStyle w:val="Style8"/>
        <w:widowControl/>
        <w:numPr>
          <w:ilvl w:val="1"/>
          <w:numId w:val="4"/>
        </w:numPr>
        <w:tabs>
          <w:tab w:val="left" w:pos="709"/>
        </w:tabs>
        <w:spacing w:before="120" w:after="120" w:line="276" w:lineRule="auto"/>
        <w:ind w:left="709" w:hanging="425"/>
        <w:rPr>
          <w:b/>
        </w:rPr>
      </w:pPr>
      <w:r w:rsidRPr="005275D3">
        <w:rPr>
          <w:b/>
        </w:rPr>
        <w:lastRenderedPageBreak/>
        <w:t xml:space="preserve"> Валута на кредита: </w:t>
      </w:r>
      <w:r w:rsidRPr="005275D3">
        <w:rPr>
          <w:bCs/>
        </w:rPr>
        <w:t>евро.</w:t>
      </w:r>
    </w:p>
    <w:p w14:paraId="1EF4EEA6" w14:textId="355DD378" w:rsidR="00BD67CB" w:rsidRPr="005275D3" w:rsidRDefault="00BD67CB" w:rsidP="00BD67CB">
      <w:pPr>
        <w:numPr>
          <w:ilvl w:val="1"/>
          <w:numId w:val="4"/>
        </w:numPr>
        <w:tabs>
          <w:tab w:val="left" w:pos="709"/>
        </w:tabs>
        <w:spacing w:after="120" w:line="276" w:lineRule="auto"/>
        <w:ind w:left="709" w:hanging="425"/>
        <w:jc w:val="both"/>
        <w:rPr>
          <w:b/>
        </w:rPr>
      </w:pPr>
      <w:r w:rsidRPr="005275D3">
        <w:rPr>
          <w:b/>
        </w:rPr>
        <w:t xml:space="preserve">Срок за изпълнение на финансовата услуга: </w:t>
      </w:r>
      <w:r w:rsidR="00A12D4E" w:rsidRPr="005275D3">
        <w:t xml:space="preserve">1 </w:t>
      </w:r>
      <w:r w:rsidRPr="005275D3">
        <w:t>годин</w:t>
      </w:r>
      <w:r w:rsidR="00A12D4E" w:rsidRPr="005275D3">
        <w:t>а</w:t>
      </w:r>
      <w:r w:rsidRPr="005275D3">
        <w:t>, считано от датата на влизане в сила на договора за кредит</w:t>
      </w:r>
      <w:r w:rsidR="00F07F0D" w:rsidRPr="005275D3">
        <w:t>, с възможност за подновяване за следващ период от 12 месеца до 6 последователни години</w:t>
      </w:r>
      <w:r w:rsidRPr="005275D3">
        <w:t>.</w:t>
      </w:r>
    </w:p>
    <w:p w14:paraId="3574213C" w14:textId="212FA232" w:rsidR="00BD67CB" w:rsidRPr="005275D3" w:rsidRDefault="00BD67CB" w:rsidP="00BD67CB">
      <w:pPr>
        <w:pStyle w:val="Style18"/>
        <w:widowControl/>
        <w:numPr>
          <w:ilvl w:val="1"/>
          <w:numId w:val="4"/>
        </w:numPr>
        <w:tabs>
          <w:tab w:val="left" w:pos="709"/>
        </w:tabs>
        <w:spacing w:before="120" w:after="120" w:line="276" w:lineRule="auto"/>
        <w:ind w:left="709" w:hanging="425"/>
      </w:pPr>
      <w:r w:rsidRPr="005275D3">
        <w:rPr>
          <w:rStyle w:val="FontStyle40"/>
          <w:sz w:val="24"/>
          <w:szCs w:val="24"/>
        </w:rPr>
        <w:t xml:space="preserve">Място на изпълнение на финансовата услуга по предоставяне на кредит:  </w:t>
      </w:r>
      <w:r w:rsidRPr="005275D3">
        <w:t xml:space="preserve">Банков клон или офис на територията на </w:t>
      </w:r>
      <w:r w:rsidR="00A12D4E" w:rsidRPr="005275D3">
        <w:t>страната</w:t>
      </w:r>
      <w:r w:rsidRPr="005275D3">
        <w:t xml:space="preserve"> или друг еквивалентен начин за изпълнение на дейностите по управление и обслужване на кредита чрез място на стопанска дейност на територията на </w:t>
      </w:r>
      <w:r w:rsidR="00A12D4E" w:rsidRPr="005275D3">
        <w:t>страната</w:t>
      </w:r>
      <w:r w:rsidRPr="005275D3">
        <w:t>.</w:t>
      </w:r>
    </w:p>
    <w:p w14:paraId="432BC6D9" w14:textId="591B4F93" w:rsidR="00BD67CB" w:rsidRPr="005275D3" w:rsidRDefault="00BD67CB" w:rsidP="00BD67CB">
      <w:pPr>
        <w:pStyle w:val="Style18"/>
        <w:widowControl/>
        <w:numPr>
          <w:ilvl w:val="1"/>
          <w:numId w:val="4"/>
        </w:numPr>
        <w:tabs>
          <w:tab w:val="left" w:pos="709"/>
          <w:tab w:val="left" w:pos="810"/>
        </w:tabs>
        <w:spacing w:before="120" w:after="120" w:line="276" w:lineRule="auto"/>
        <w:ind w:left="709" w:hanging="425"/>
        <w:rPr>
          <w:rStyle w:val="FontStyle39"/>
          <w:sz w:val="24"/>
          <w:szCs w:val="24"/>
        </w:rPr>
      </w:pPr>
      <w:r w:rsidRPr="005275D3">
        <w:rPr>
          <w:rStyle w:val="FontStyle39"/>
          <w:b/>
          <w:sz w:val="24"/>
          <w:szCs w:val="24"/>
        </w:rPr>
        <w:t>Лихвен процент по кредита:</w:t>
      </w:r>
      <w:r w:rsidRPr="005275D3">
        <w:rPr>
          <w:rStyle w:val="FontStyle39"/>
          <w:sz w:val="24"/>
          <w:szCs w:val="24"/>
        </w:rPr>
        <w:t xml:space="preserve"> формиран от сбора на:  a) основния лихвен процент, изчислен на база статистически данни на БНБ, или 1-месечен EURIBOR, и b) фиксирана надбавка,</w:t>
      </w:r>
      <w:r w:rsidRPr="005275D3">
        <w:t xml:space="preserve"> </w:t>
      </w:r>
      <w:r w:rsidRPr="005275D3">
        <w:rPr>
          <w:rStyle w:val="FontStyle39"/>
          <w:sz w:val="24"/>
          <w:szCs w:val="24"/>
        </w:rPr>
        <w:t>като надбавката следва да включва всички такси, разходи и комисионни по кредита.</w:t>
      </w:r>
      <w:r w:rsidR="00AF0BC4" w:rsidRPr="005275D3">
        <w:rPr>
          <w:rStyle w:val="FontStyle39"/>
          <w:sz w:val="24"/>
          <w:szCs w:val="24"/>
        </w:rPr>
        <w:t xml:space="preserve"> Лихвеният процент по кредита е посочен в т. II</w:t>
      </w:r>
      <w:r w:rsidR="008B26AD" w:rsidRPr="005275D3">
        <w:rPr>
          <w:rStyle w:val="FontStyle39"/>
          <w:sz w:val="24"/>
          <w:szCs w:val="24"/>
        </w:rPr>
        <w:t>I</w:t>
      </w:r>
      <w:r w:rsidR="00AF0BC4" w:rsidRPr="005275D3">
        <w:rPr>
          <w:rStyle w:val="FontStyle39"/>
          <w:sz w:val="24"/>
          <w:szCs w:val="24"/>
        </w:rPr>
        <w:t xml:space="preserve"> от офертата.</w:t>
      </w:r>
    </w:p>
    <w:p w14:paraId="01785AB0" w14:textId="77777777" w:rsidR="00BD67CB" w:rsidRPr="005275D3" w:rsidRDefault="00BD67CB" w:rsidP="00BD67CB">
      <w:pPr>
        <w:pStyle w:val="Style18"/>
        <w:widowControl/>
        <w:numPr>
          <w:ilvl w:val="1"/>
          <w:numId w:val="4"/>
        </w:numPr>
        <w:tabs>
          <w:tab w:val="left" w:pos="709"/>
          <w:tab w:val="left" w:pos="810"/>
        </w:tabs>
        <w:spacing w:before="120" w:after="120" w:line="276" w:lineRule="auto"/>
        <w:ind w:left="709" w:hanging="425"/>
        <w:rPr>
          <w:rFonts w:eastAsia="Calibri"/>
          <w:iCs/>
        </w:rPr>
      </w:pPr>
      <w:r w:rsidRPr="005275D3">
        <w:rPr>
          <w:rFonts w:eastAsia="Calibri"/>
          <w:b/>
          <w:iCs/>
        </w:rPr>
        <w:t xml:space="preserve">Начин на усвояване на средствата </w:t>
      </w:r>
    </w:p>
    <w:p w14:paraId="013BBBFA" w14:textId="77777777" w:rsidR="00BD67CB" w:rsidRPr="005275D3" w:rsidRDefault="00BD67CB" w:rsidP="00C306D7">
      <w:pPr>
        <w:pStyle w:val="Style18"/>
        <w:widowControl/>
        <w:numPr>
          <w:ilvl w:val="0"/>
          <w:numId w:val="5"/>
        </w:numPr>
        <w:tabs>
          <w:tab w:val="left" w:pos="720"/>
          <w:tab w:val="left" w:pos="1341"/>
        </w:tabs>
        <w:spacing w:before="120" w:after="120" w:line="276" w:lineRule="auto"/>
        <w:rPr>
          <w:rFonts w:eastAsia="Calibri"/>
          <w:iCs/>
        </w:rPr>
      </w:pPr>
      <w:r w:rsidRPr="005275D3">
        <w:rPr>
          <w:rFonts w:eastAsia="Calibri"/>
          <w:iCs/>
        </w:rPr>
        <w:t xml:space="preserve">Усвояването на средствата по договора за кредит следва да се осъществява съгласно текущата финансова необходимост на „Булгаргаз“ ЕАД, като може да се извършва на части или за целия размер на кредита. </w:t>
      </w:r>
    </w:p>
    <w:p w14:paraId="03EFBC61" w14:textId="171D2BD4" w:rsidR="00BD67CB" w:rsidRPr="005275D3" w:rsidRDefault="00BD67CB" w:rsidP="00C306D7">
      <w:pPr>
        <w:pStyle w:val="Style18"/>
        <w:widowControl/>
        <w:numPr>
          <w:ilvl w:val="0"/>
          <w:numId w:val="5"/>
        </w:numPr>
        <w:tabs>
          <w:tab w:val="left" w:pos="720"/>
          <w:tab w:val="left" w:pos="1341"/>
        </w:tabs>
        <w:spacing w:before="120" w:after="120" w:line="276" w:lineRule="auto"/>
        <w:rPr>
          <w:rFonts w:eastAsia="Calibri"/>
          <w:iCs/>
        </w:rPr>
      </w:pPr>
      <w:r w:rsidRPr="005275D3">
        <w:rPr>
          <w:rFonts w:eastAsia="Calibri"/>
          <w:iCs/>
        </w:rPr>
        <w:t>„Булгаргаз“ ЕАД ще усвоява такава част от банковия кредит (</w:t>
      </w:r>
      <w:r w:rsidR="00DE1501" w:rsidRPr="005275D3">
        <w:rPr>
          <w:rFonts w:eastAsia="Calibri"/>
          <w:iCs/>
        </w:rPr>
        <w:t xml:space="preserve">под формата на </w:t>
      </w:r>
      <w:r w:rsidRPr="005275D3">
        <w:rPr>
          <w:rFonts w:eastAsia="Calibri"/>
          <w:iCs/>
        </w:rPr>
        <w:t xml:space="preserve">овърдрафти, акредитиви, или други подобни банкови продукти, предложени от участниците в процедурата), каквато му е необходима за покриване на разходите и при спазване на изискването общата сума на всички отделно усвоени суми към всеки един момент да не надвишава кредитния лимит по договора. </w:t>
      </w:r>
    </w:p>
    <w:p w14:paraId="15866CE3" w14:textId="77777777" w:rsidR="00233F92" w:rsidRPr="005275D3" w:rsidRDefault="00233F92" w:rsidP="00233F92">
      <w:pPr>
        <w:pStyle w:val="Style18"/>
        <w:widowControl/>
        <w:numPr>
          <w:ilvl w:val="0"/>
          <w:numId w:val="5"/>
        </w:numPr>
        <w:tabs>
          <w:tab w:val="left" w:pos="0"/>
          <w:tab w:val="left" w:pos="1341"/>
        </w:tabs>
        <w:spacing w:before="120" w:after="120" w:line="276" w:lineRule="auto"/>
        <w:rPr>
          <w:rFonts w:eastAsia="Calibri"/>
          <w:iCs/>
        </w:rPr>
      </w:pPr>
      <w:r w:rsidRPr="005275D3">
        <w:rPr>
          <w:rFonts w:eastAsia="Calibri"/>
          <w:iCs/>
        </w:rPr>
        <w:t>Погасяването на усвоените суми по кредита може да става на части или напълно, многократно в рамките на договорения срок и условия.</w:t>
      </w:r>
    </w:p>
    <w:p w14:paraId="1F1A924F" w14:textId="77777777" w:rsidR="00BD67CB" w:rsidRPr="005275D3" w:rsidRDefault="00BD67CB" w:rsidP="00C306D7">
      <w:pPr>
        <w:pStyle w:val="Style18"/>
        <w:widowControl/>
        <w:numPr>
          <w:ilvl w:val="0"/>
          <w:numId w:val="5"/>
        </w:numPr>
        <w:tabs>
          <w:tab w:val="left" w:pos="720"/>
          <w:tab w:val="left" w:pos="1341"/>
        </w:tabs>
        <w:spacing w:before="120" w:after="120" w:line="276" w:lineRule="auto"/>
        <w:rPr>
          <w:rFonts w:eastAsia="Calibri"/>
          <w:iCs/>
        </w:rPr>
      </w:pPr>
      <w:r w:rsidRPr="005275D3">
        <w:rPr>
          <w:rFonts w:eastAsia="Calibri"/>
          <w:iCs/>
        </w:rPr>
        <w:t xml:space="preserve">Погасената част може да бъде усвоявана многократно в рамките на договорения срок и условия. </w:t>
      </w:r>
    </w:p>
    <w:p w14:paraId="596B9599" w14:textId="5F391FB5" w:rsidR="00BD67CB" w:rsidRPr="005275D3" w:rsidRDefault="00BD67CB" w:rsidP="00C306D7">
      <w:pPr>
        <w:pStyle w:val="Style18"/>
        <w:widowControl/>
        <w:numPr>
          <w:ilvl w:val="0"/>
          <w:numId w:val="5"/>
        </w:numPr>
        <w:tabs>
          <w:tab w:val="left" w:pos="720"/>
          <w:tab w:val="left" w:pos="1341"/>
        </w:tabs>
        <w:spacing w:before="120" w:after="120" w:line="276" w:lineRule="auto"/>
        <w:rPr>
          <w:rFonts w:eastAsia="Calibri"/>
          <w:iCs/>
        </w:rPr>
      </w:pPr>
      <w:r w:rsidRPr="005275D3">
        <w:rPr>
          <w:rFonts w:eastAsia="Calibri"/>
          <w:iCs/>
        </w:rPr>
        <w:t xml:space="preserve">„Булгаргаз“ ЕАД няма задължение да усвои пълния размер на кредита. </w:t>
      </w:r>
    </w:p>
    <w:p w14:paraId="0F56F191" w14:textId="77777777" w:rsidR="00BD67CB" w:rsidRPr="005275D3" w:rsidRDefault="00BD67CB" w:rsidP="00C306D7">
      <w:pPr>
        <w:pStyle w:val="Style18"/>
        <w:widowControl/>
        <w:numPr>
          <w:ilvl w:val="1"/>
          <w:numId w:val="4"/>
        </w:numPr>
        <w:tabs>
          <w:tab w:val="left" w:pos="720"/>
          <w:tab w:val="left" w:pos="810"/>
        </w:tabs>
        <w:spacing w:before="120" w:after="120" w:line="276" w:lineRule="auto"/>
        <w:ind w:left="709" w:hanging="425"/>
        <w:rPr>
          <w:rFonts w:eastAsia="Calibri"/>
          <w:iCs/>
        </w:rPr>
      </w:pPr>
      <w:r w:rsidRPr="005275D3">
        <w:rPr>
          <w:b/>
          <w:spacing w:val="2"/>
        </w:rPr>
        <w:t>Срок и начин на погасяване на кредита</w:t>
      </w:r>
    </w:p>
    <w:p w14:paraId="157DF922" w14:textId="43F9AC5E" w:rsidR="00BD67CB" w:rsidRPr="005275D3" w:rsidRDefault="00BD67CB" w:rsidP="00C306D7">
      <w:pPr>
        <w:pStyle w:val="Style18"/>
        <w:widowControl/>
        <w:numPr>
          <w:ilvl w:val="0"/>
          <w:numId w:val="6"/>
        </w:numPr>
        <w:tabs>
          <w:tab w:val="left" w:pos="720"/>
          <w:tab w:val="left" w:pos="1341"/>
        </w:tabs>
        <w:spacing w:before="120" w:after="120" w:line="276" w:lineRule="auto"/>
        <w:rPr>
          <w:rFonts w:eastAsia="Calibri"/>
          <w:iCs/>
        </w:rPr>
      </w:pPr>
      <w:r w:rsidRPr="005275D3">
        <w:rPr>
          <w:rFonts w:eastAsia="Calibri"/>
          <w:iCs/>
        </w:rPr>
        <w:t xml:space="preserve">Кредитният лимит се предоставя със срок на ползване (усвояване) и срок за погасяване на всички дължими по него суми за </w:t>
      </w:r>
      <w:r w:rsidR="00A56D12" w:rsidRPr="005275D3">
        <w:rPr>
          <w:rFonts w:eastAsia="Calibri"/>
          <w:iCs/>
        </w:rPr>
        <w:t>1</w:t>
      </w:r>
      <w:r w:rsidRPr="005275D3">
        <w:rPr>
          <w:rFonts w:eastAsia="Calibri"/>
          <w:iCs/>
        </w:rPr>
        <w:t xml:space="preserve"> годин</w:t>
      </w:r>
      <w:r w:rsidR="00A56D12" w:rsidRPr="005275D3">
        <w:rPr>
          <w:rFonts w:eastAsia="Calibri"/>
          <w:iCs/>
        </w:rPr>
        <w:t>а</w:t>
      </w:r>
      <w:r w:rsidRPr="005275D3">
        <w:rPr>
          <w:rFonts w:eastAsia="Calibri"/>
          <w:iCs/>
        </w:rPr>
        <w:t xml:space="preserve">, считано от датата на влизане в сила на договора за кредит. </w:t>
      </w:r>
      <w:r w:rsidR="0036011C" w:rsidRPr="005275D3">
        <w:rPr>
          <w:rFonts w:eastAsia="Calibri"/>
          <w:iCs/>
        </w:rPr>
        <w:t>Договорът за кредит може да бъде подновен за следващ период от 12 месеца до 6 последователни години при съгласие от двете страни.</w:t>
      </w:r>
    </w:p>
    <w:p w14:paraId="1CCB3C56" w14:textId="77777777" w:rsidR="00BD67CB" w:rsidRPr="005275D3" w:rsidRDefault="00BD67CB" w:rsidP="00C306D7">
      <w:pPr>
        <w:pStyle w:val="Style18"/>
        <w:widowControl/>
        <w:numPr>
          <w:ilvl w:val="0"/>
          <w:numId w:val="6"/>
        </w:numPr>
        <w:tabs>
          <w:tab w:val="left" w:pos="720"/>
          <w:tab w:val="left" w:pos="1341"/>
        </w:tabs>
        <w:spacing w:before="120" w:after="120" w:line="276" w:lineRule="auto"/>
        <w:rPr>
          <w:rFonts w:eastAsia="Calibri"/>
          <w:iCs/>
        </w:rPr>
      </w:pPr>
      <w:r w:rsidRPr="005275D3">
        <w:rPr>
          <w:rFonts w:eastAsia="Calibri"/>
          <w:iCs/>
        </w:rPr>
        <w:t xml:space="preserve">Погасяването на главницата по кредита се осъществява по всяко време на действие на договора, като погасената част от кредитния лимит се счита за предоставена за последващо усвояване. </w:t>
      </w:r>
    </w:p>
    <w:p w14:paraId="3BD65E73" w14:textId="77777777" w:rsidR="00BD67CB" w:rsidRPr="005275D3" w:rsidRDefault="00BD67CB" w:rsidP="00C306D7">
      <w:pPr>
        <w:pStyle w:val="Style18"/>
        <w:widowControl/>
        <w:numPr>
          <w:ilvl w:val="0"/>
          <w:numId w:val="6"/>
        </w:numPr>
        <w:tabs>
          <w:tab w:val="left" w:pos="720"/>
          <w:tab w:val="left" w:pos="1341"/>
        </w:tabs>
        <w:spacing w:before="120" w:after="120" w:line="276" w:lineRule="auto"/>
        <w:rPr>
          <w:rFonts w:eastAsia="Calibri"/>
          <w:iCs/>
        </w:rPr>
      </w:pPr>
      <w:r w:rsidRPr="005275D3">
        <w:rPr>
          <w:rFonts w:eastAsia="Calibri"/>
          <w:iCs/>
        </w:rPr>
        <w:lastRenderedPageBreak/>
        <w:t>„Булгаргаз“ ЕАД има право на предсрочно погасяване на главницата по кредита без да дължи такса.</w:t>
      </w:r>
    </w:p>
    <w:p w14:paraId="29F225E4" w14:textId="5C5661DF" w:rsidR="00BD67CB" w:rsidRPr="005275D3" w:rsidRDefault="00BD67CB" w:rsidP="00CD43F6">
      <w:pPr>
        <w:pStyle w:val="ListParagraph"/>
        <w:numPr>
          <w:ilvl w:val="1"/>
          <w:numId w:val="4"/>
        </w:numPr>
        <w:tabs>
          <w:tab w:val="left" w:pos="0"/>
          <w:tab w:val="left" w:pos="180"/>
          <w:tab w:val="left" w:pos="426"/>
        </w:tabs>
        <w:spacing w:before="120" w:after="120" w:line="276" w:lineRule="auto"/>
        <w:ind w:left="0" w:firstLine="777"/>
        <w:contextualSpacing w:val="0"/>
        <w:jc w:val="both"/>
        <w:rPr>
          <w:rFonts w:eastAsia="Calibri"/>
          <w:iCs/>
        </w:rPr>
      </w:pPr>
      <w:r w:rsidRPr="005275D3">
        <w:rPr>
          <w:rFonts w:eastAsia="Calibri"/>
          <w:b/>
          <w:bCs/>
          <w:iCs/>
        </w:rPr>
        <w:t xml:space="preserve">Обезпечение: </w:t>
      </w:r>
      <w:r w:rsidRPr="005275D3">
        <w:rPr>
          <w:rFonts w:eastAsia="Calibri"/>
          <w:iCs/>
        </w:rPr>
        <w:t xml:space="preserve">издадена държавна гаранция за гарантиране на задълженията по договора за кредит </w:t>
      </w:r>
      <w:r w:rsidR="00CD43F6" w:rsidRPr="005275D3">
        <w:rPr>
          <w:rFonts w:eastAsia="Calibri"/>
          <w:iCs/>
        </w:rPr>
        <w:t xml:space="preserve">до 90% от размера на заема, издадена </w:t>
      </w:r>
      <w:r w:rsidRPr="005275D3">
        <w:rPr>
          <w:rFonts w:eastAsia="Calibri"/>
          <w:iCs/>
        </w:rPr>
        <w:t>съгласно приложимата нормативна уредба</w:t>
      </w:r>
      <w:r w:rsidR="00534FBB" w:rsidRPr="005275D3">
        <w:rPr>
          <w:rFonts w:eastAsia="Calibri"/>
          <w:iCs/>
        </w:rPr>
        <w:t>, след одобрение на мярката за държавна помощ от ЕК.</w:t>
      </w:r>
    </w:p>
    <w:p w14:paraId="49A45393" w14:textId="77777777" w:rsidR="00BD67CB" w:rsidRPr="005275D3" w:rsidRDefault="00BD67CB" w:rsidP="00C306D7">
      <w:pPr>
        <w:pStyle w:val="ListParagraph"/>
        <w:numPr>
          <w:ilvl w:val="1"/>
          <w:numId w:val="4"/>
        </w:numPr>
        <w:tabs>
          <w:tab w:val="left" w:pos="180"/>
          <w:tab w:val="left" w:pos="426"/>
          <w:tab w:val="left" w:pos="720"/>
        </w:tabs>
        <w:spacing w:before="120" w:after="120" w:line="276" w:lineRule="auto"/>
        <w:ind w:left="851" w:hanging="567"/>
        <w:contextualSpacing w:val="0"/>
        <w:jc w:val="both"/>
        <w:rPr>
          <w:rFonts w:eastAsia="Calibri"/>
          <w:iCs/>
        </w:rPr>
      </w:pPr>
      <w:r w:rsidRPr="005275D3">
        <w:rPr>
          <w:rFonts w:eastAsia="Calibri"/>
          <w:b/>
          <w:bCs/>
          <w:iCs/>
        </w:rPr>
        <w:t>Други условия</w:t>
      </w:r>
    </w:p>
    <w:p w14:paraId="40270DA3" w14:textId="77777777" w:rsidR="00BD67CB" w:rsidRPr="005275D3" w:rsidRDefault="00BD67CB" w:rsidP="00C306D7">
      <w:pPr>
        <w:pStyle w:val="Style18"/>
        <w:widowControl/>
        <w:numPr>
          <w:ilvl w:val="0"/>
          <w:numId w:val="7"/>
        </w:numPr>
        <w:tabs>
          <w:tab w:val="left" w:pos="720"/>
          <w:tab w:val="left" w:pos="1341"/>
        </w:tabs>
        <w:spacing w:before="120" w:after="120" w:line="276" w:lineRule="auto"/>
        <w:rPr>
          <w:rFonts w:eastAsia="Calibri"/>
          <w:iCs/>
        </w:rPr>
      </w:pPr>
      <w:r w:rsidRPr="005275D3">
        <w:rPr>
          <w:rFonts w:eastAsia="Calibri"/>
          <w:iCs/>
        </w:rPr>
        <w:t>Кредитът се отпуска по банкова сметка на „Булгаргаз“ ЕАД и се погасява автоматично с всяко постъпление по банковата сметка.</w:t>
      </w:r>
    </w:p>
    <w:p w14:paraId="3542FAE3" w14:textId="77777777" w:rsidR="00BD67CB" w:rsidRPr="005275D3" w:rsidRDefault="00BD67CB" w:rsidP="00C306D7">
      <w:pPr>
        <w:pStyle w:val="Style18"/>
        <w:widowControl/>
        <w:numPr>
          <w:ilvl w:val="0"/>
          <w:numId w:val="7"/>
        </w:numPr>
        <w:tabs>
          <w:tab w:val="left" w:pos="720"/>
          <w:tab w:val="left" w:pos="1341"/>
        </w:tabs>
        <w:spacing w:before="120" w:after="120" w:line="276" w:lineRule="auto"/>
        <w:rPr>
          <w:rFonts w:eastAsia="Calibri"/>
          <w:iCs/>
        </w:rPr>
      </w:pPr>
      <w:r w:rsidRPr="005275D3">
        <w:rPr>
          <w:rFonts w:eastAsia="Calibri"/>
          <w:iCs/>
        </w:rPr>
        <w:t xml:space="preserve">„Булгаргаз“ ЕАД дължи лихви само върху усвоената част от предоставеното финансиране от датата на теглене на всяка сума. </w:t>
      </w:r>
    </w:p>
    <w:p w14:paraId="659F93AE" w14:textId="77777777" w:rsidR="00BD67CB" w:rsidRPr="005275D3" w:rsidRDefault="00BD67CB" w:rsidP="00C306D7">
      <w:pPr>
        <w:pStyle w:val="Style18"/>
        <w:widowControl/>
        <w:numPr>
          <w:ilvl w:val="0"/>
          <w:numId w:val="7"/>
        </w:numPr>
        <w:tabs>
          <w:tab w:val="left" w:pos="720"/>
          <w:tab w:val="left" w:pos="1341"/>
        </w:tabs>
        <w:spacing w:before="120" w:after="120" w:line="276" w:lineRule="auto"/>
        <w:rPr>
          <w:rFonts w:eastAsia="Calibri"/>
          <w:iCs/>
        </w:rPr>
      </w:pPr>
      <w:r w:rsidRPr="005275D3">
        <w:rPr>
          <w:rFonts w:eastAsia="Calibri"/>
          <w:iCs/>
        </w:rPr>
        <w:t>„Булгаргаз“ ЕАД не дължи и не заплаща такса за предсрочно погасяване.</w:t>
      </w:r>
    </w:p>
    <w:p w14:paraId="35F16369" w14:textId="4883B451" w:rsidR="00BD67CB" w:rsidRPr="005275D3" w:rsidRDefault="00BD67CB" w:rsidP="00C306D7">
      <w:pPr>
        <w:pStyle w:val="Style18"/>
        <w:widowControl/>
        <w:numPr>
          <w:ilvl w:val="0"/>
          <w:numId w:val="7"/>
        </w:numPr>
        <w:tabs>
          <w:tab w:val="left" w:pos="720"/>
          <w:tab w:val="left" w:pos="1341"/>
        </w:tabs>
        <w:spacing w:before="120" w:after="120" w:line="276" w:lineRule="auto"/>
        <w:rPr>
          <w:rFonts w:eastAsia="Calibri"/>
          <w:iCs/>
        </w:rPr>
      </w:pPr>
      <w:r w:rsidRPr="005275D3">
        <w:rPr>
          <w:rFonts w:eastAsia="Calibri"/>
          <w:iCs/>
        </w:rPr>
        <w:t xml:space="preserve">„Булгаргаз“ ЕАД не дължи за целия период на действие на договора за кредит други такси, комисиони, надбавки, неустойки и други допълнителни плащания, освен лихвата, посочена в т. </w:t>
      </w:r>
      <w:r w:rsidR="00CD43F6" w:rsidRPr="005275D3">
        <w:rPr>
          <w:rFonts w:eastAsia="Calibri"/>
          <w:iCs/>
        </w:rPr>
        <w:t>8</w:t>
      </w:r>
      <w:r w:rsidRPr="005275D3">
        <w:rPr>
          <w:rFonts w:eastAsia="Calibri"/>
          <w:iCs/>
        </w:rPr>
        <w:t>.</w:t>
      </w:r>
    </w:p>
    <w:p w14:paraId="72BB0FF7" w14:textId="0AE07A84" w:rsidR="00093D8C" w:rsidRPr="005275D3" w:rsidRDefault="00093D8C" w:rsidP="00C306D7">
      <w:pPr>
        <w:pStyle w:val="ListParagraph"/>
        <w:numPr>
          <w:ilvl w:val="1"/>
          <w:numId w:val="4"/>
        </w:numPr>
        <w:tabs>
          <w:tab w:val="left" w:pos="180"/>
          <w:tab w:val="left" w:pos="426"/>
          <w:tab w:val="left" w:pos="720"/>
        </w:tabs>
        <w:spacing w:before="120" w:after="120" w:line="276" w:lineRule="auto"/>
        <w:ind w:left="851" w:hanging="567"/>
        <w:contextualSpacing w:val="0"/>
        <w:jc w:val="both"/>
        <w:rPr>
          <w:rFonts w:eastAsia="Calibri"/>
          <w:b/>
          <w:bCs/>
          <w:iCs/>
        </w:rPr>
      </w:pPr>
      <w:r w:rsidRPr="005275D3">
        <w:rPr>
          <w:rFonts w:eastAsia="Calibri"/>
          <w:b/>
          <w:bCs/>
          <w:iCs/>
        </w:rPr>
        <w:t>Предлагаме следните банкови продукти, чрез които може да бъде усвоен кредитът:</w:t>
      </w:r>
    </w:p>
    <w:p w14:paraId="3B4FC352" w14:textId="575AA9DE" w:rsidR="00093D8C" w:rsidRPr="005275D3" w:rsidRDefault="00093D8C" w:rsidP="00C306D7">
      <w:pPr>
        <w:pStyle w:val="Style18"/>
        <w:widowControl/>
        <w:numPr>
          <w:ilvl w:val="0"/>
          <w:numId w:val="13"/>
        </w:numPr>
        <w:tabs>
          <w:tab w:val="left" w:pos="720"/>
          <w:tab w:val="left" w:pos="1418"/>
        </w:tabs>
        <w:spacing w:before="120" w:after="120" w:line="276" w:lineRule="auto"/>
        <w:rPr>
          <w:rFonts w:eastAsia="Calibri"/>
          <w:iCs/>
        </w:rPr>
      </w:pPr>
      <w:r w:rsidRPr="005275D3">
        <w:rPr>
          <w:rFonts w:eastAsia="Calibri"/>
          <w:iCs/>
        </w:rPr>
        <w:t xml:space="preserve">Овърдрафт </w:t>
      </w:r>
    </w:p>
    <w:p w14:paraId="19B14E68" w14:textId="45D02A36" w:rsidR="00093D8C" w:rsidRPr="005275D3" w:rsidRDefault="00093D8C" w:rsidP="00C306D7">
      <w:pPr>
        <w:pStyle w:val="Style18"/>
        <w:widowControl/>
        <w:numPr>
          <w:ilvl w:val="0"/>
          <w:numId w:val="13"/>
        </w:numPr>
        <w:tabs>
          <w:tab w:val="left" w:pos="720"/>
          <w:tab w:val="left" w:pos="1418"/>
        </w:tabs>
        <w:spacing w:before="120" w:after="120" w:line="276" w:lineRule="auto"/>
        <w:rPr>
          <w:rFonts w:eastAsia="Calibri"/>
          <w:iCs/>
        </w:rPr>
      </w:pPr>
      <w:r w:rsidRPr="005275D3">
        <w:rPr>
          <w:rFonts w:eastAsia="Calibri"/>
          <w:iCs/>
        </w:rPr>
        <w:t xml:space="preserve">Акредитив </w:t>
      </w:r>
    </w:p>
    <w:p w14:paraId="1D911721" w14:textId="41E280D3" w:rsidR="00BD67CB" w:rsidRPr="005275D3" w:rsidRDefault="00093D8C" w:rsidP="00C306D7">
      <w:pPr>
        <w:pStyle w:val="Style18"/>
        <w:widowControl/>
        <w:numPr>
          <w:ilvl w:val="0"/>
          <w:numId w:val="13"/>
        </w:numPr>
        <w:tabs>
          <w:tab w:val="left" w:pos="720"/>
          <w:tab w:val="left" w:pos="1418"/>
        </w:tabs>
        <w:spacing w:before="120" w:after="120" w:line="276" w:lineRule="auto"/>
        <w:rPr>
          <w:rFonts w:eastAsia="Calibri"/>
          <w:iCs/>
        </w:rPr>
      </w:pPr>
      <w:r w:rsidRPr="005275D3">
        <w:rPr>
          <w:rFonts w:eastAsia="Calibri"/>
          <w:iCs/>
        </w:rPr>
        <w:t>Други</w:t>
      </w:r>
      <w:r w:rsidR="00E92FD5" w:rsidRPr="005275D3">
        <w:rPr>
          <w:rFonts w:eastAsia="Calibri"/>
          <w:iCs/>
        </w:rPr>
        <w:t xml:space="preserve"> (ако има такива)</w:t>
      </w:r>
      <w:r w:rsidRPr="005275D3">
        <w:rPr>
          <w:rFonts w:eastAsia="Calibri"/>
          <w:iCs/>
        </w:rPr>
        <w:t>:</w:t>
      </w:r>
    </w:p>
    <w:p w14:paraId="26D15456" w14:textId="0649AAF6" w:rsidR="00093D8C" w:rsidRPr="005275D3" w:rsidRDefault="00093D8C" w:rsidP="00125ABF">
      <w:pPr>
        <w:tabs>
          <w:tab w:val="left" w:pos="567"/>
        </w:tabs>
        <w:spacing w:before="120" w:after="120"/>
        <w:ind w:left="284"/>
        <w:jc w:val="both"/>
      </w:pPr>
      <w:r w:rsidRPr="005275D3">
        <w:t>……………………………………………………………………………………………………</w:t>
      </w:r>
    </w:p>
    <w:p w14:paraId="336B56CC" w14:textId="7CF3A50B" w:rsidR="00BD67CB" w:rsidRPr="005275D3" w:rsidRDefault="00125ABF" w:rsidP="00BD67CB">
      <w:pPr>
        <w:spacing w:before="120"/>
        <w:jc w:val="both"/>
        <w:rPr>
          <w:b/>
        </w:rPr>
      </w:pPr>
      <w:r w:rsidRPr="005275D3">
        <w:rPr>
          <w:i/>
          <w:iCs/>
        </w:rPr>
        <w:t>* Участниците описват предлаганите от тях банкови продукти</w:t>
      </w:r>
    </w:p>
    <w:p w14:paraId="65284F3F" w14:textId="4581CA0D" w:rsidR="009958F2" w:rsidRPr="005275D3" w:rsidRDefault="00BD67CB" w:rsidP="00BD67CB">
      <w:pPr>
        <w:spacing w:before="120"/>
        <w:jc w:val="both"/>
        <w:rPr>
          <w:b/>
        </w:rPr>
      </w:pPr>
      <w:r w:rsidRPr="005275D3">
        <w:rPr>
          <w:b/>
        </w:rPr>
        <w:t>II</w:t>
      </w:r>
      <w:r w:rsidR="008B26AD" w:rsidRPr="005275D3">
        <w:rPr>
          <w:b/>
        </w:rPr>
        <w:t>I</w:t>
      </w:r>
      <w:r w:rsidRPr="005275D3">
        <w:rPr>
          <w:b/>
        </w:rPr>
        <w:t xml:space="preserve">. </w:t>
      </w:r>
      <w:r w:rsidR="009958F2" w:rsidRPr="005275D3">
        <w:rPr>
          <w:b/>
        </w:rPr>
        <w:t>Предлагаме да предоставим банков кредит съгласно Поканата за представяне на оферта при следните ЦЕНОВИ условия:</w:t>
      </w:r>
    </w:p>
    <w:p w14:paraId="6A786689" w14:textId="77777777" w:rsidR="00AB4489" w:rsidRPr="005275D3" w:rsidRDefault="00AB4489" w:rsidP="00AB4489">
      <w:pPr>
        <w:tabs>
          <w:tab w:val="left" w:pos="567"/>
        </w:tabs>
        <w:spacing w:before="60"/>
        <w:jc w:val="both"/>
      </w:pPr>
    </w:p>
    <w:p w14:paraId="22CB6348" w14:textId="1729AA3A" w:rsidR="00D262B4" w:rsidRPr="005275D3" w:rsidRDefault="00D262B4" w:rsidP="00125ABF">
      <w:pPr>
        <w:pStyle w:val="ListParagraph"/>
        <w:numPr>
          <w:ilvl w:val="0"/>
          <w:numId w:val="9"/>
        </w:numPr>
        <w:tabs>
          <w:tab w:val="left" w:pos="567"/>
        </w:tabs>
        <w:spacing w:before="60"/>
        <w:ind w:left="709" w:hanging="425"/>
        <w:jc w:val="both"/>
      </w:pPr>
      <w:r w:rsidRPr="005275D3">
        <w:t>Предложен годишен лихвен процент</w:t>
      </w:r>
      <w:r w:rsidR="00321678" w:rsidRPr="005275D3">
        <w:t xml:space="preserve"> </w:t>
      </w:r>
      <w:r w:rsidR="00321678" w:rsidRPr="005275D3">
        <w:rPr>
          <w:u w:val="single"/>
        </w:rPr>
        <w:t>с издадена държавна гаранция</w:t>
      </w:r>
      <w:r w:rsidRPr="005275D3">
        <w:t>, включително всички такси и разходи по кредита</w:t>
      </w:r>
      <w:r w:rsidR="00321678" w:rsidRPr="005275D3">
        <w:t>.</w:t>
      </w:r>
    </w:p>
    <w:p w14:paraId="59A4CC42" w14:textId="77777777" w:rsidR="001A540A" w:rsidRPr="005275D3" w:rsidRDefault="001A540A" w:rsidP="001A540A">
      <w:pPr>
        <w:pStyle w:val="ListParagraph"/>
        <w:tabs>
          <w:tab w:val="left" w:pos="567"/>
        </w:tabs>
        <w:spacing w:before="60"/>
        <w:ind w:left="786"/>
        <w:jc w:val="both"/>
      </w:pP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819"/>
      </w:tblGrid>
      <w:tr w:rsidR="001A540A" w:rsidRPr="005275D3" w14:paraId="7083960C" w14:textId="77777777" w:rsidTr="00EA0142">
        <w:trPr>
          <w:trHeight w:val="636"/>
          <w:jc w:val="center"/>
        </w:trPr>
        <w:tc>
          <w:tcPr>
            <w:tcW w:w="5807" w:type="dxa"/>
            <w:gridSpan w:val="2"/>
            <w:shd w:val="clear" w:color="auto" w:fill="D8D8D8"/>
            <w:tcMar>
              <w:top w:w="0" w:type="dxa"/>
              <w:left w:w="70" w:type="dxa"/>
              <w:bottom w:w="0" w:type="dxa"/>
              <w:right w:w="70" w:type="dxa"/>
            </w:tcMar>
            <w:vAlign w:val="center"/>
          </w:tcPr>
          <w:p w14:paraId="3766742C" w14:textId="77777777" w:rsidR="001A540A" w:rsidRPr="005275D3" w:rsidRDefault="001A540A" w:rsidP="006C4BEA">
            <w:pPr>
              <w:pStyle w:val="NormalWeb"/>
              <w:spacing w:before="0" w:beforeAutospacing="0" w:after="0" w:afterAutospacing="0"/>
              <w:jc w:val="center"/>
              <w:rPr>
                <w:b/>
                <w:bCs/>
                <w:lang w:val="bg-BG"/>
              </w:rPr>
            </w:pPr>
            <w:r w:rsidRPr="005275D3">
              <w:rPr>
                <w:b/>
                <w:bCs/>
                <w:lang w:val="bg-BG"/>
              </w:rPr>
              <w:t>Референтен лихвен процент</w:t>
            </w:r>
          </w:p>
        </w:tc>
      </w:tr>
      <w:tr w:rsidR="001A540A" w:rsidRPr="005275D3" w14:paraId="409CD134" w14:textId="77777777" w:rsidTr="00EA0142">
        <w:trPr>
          <w:trHeight w:val="452"/>
          <w:jc w:val="center"/>
        </w:trPr>
        <w:tc>
          <w:tcPr>
            <w:tcW w:w="988" w:type="dxa"/>
            <w:tcMar>
              <w:top w:w="0" w:type="dxa"/>
              <w:left w:w="70" w:type="dxa"/>
              <w:bottom w:w="0" w:type="dxa"/>
              <w:right w:w="70" w:type="dxa"/>
            </w:tcMar>
            <w:vAlign w:val="center"/>
          </w:tcPr>
          <w:p w14:paraId="032030F1" w14:textId="7DA05315" w:rsidR="001A540A" w:rsidRPr="005275D3" w:rsidRDefault="00000000" w:rsidP="006C4BEA">
            <w:pPr>
              <w:pStyle w:val="NormalWeb"/>
              <w:spacing w:before="0" w:beforeAutospacing="0" w:after="0" w:afterAutospacing="0"/>
              <w:jc w:val="center"/>
              <w:rPr>
                <w:b/>
                <w:lang w:val="bg-BG"/>
              </w:rPr>
            </w:pPr>
            <w:sdt>
              <w:sdtPr>
                <w:rPr>
                  <w:b/>
                  <w:lang w:val="bg-BG"/>
                </w:rPr>
                <w:id w:val="-220908968"/>
                <w14:checkbox>
                  <w14:checked w14:val="0"/>
                  <w14:checkedState w14:val="2612" w14:font="MS Gothic"/>
                  <w14:uncheckedState w14:val="2610" w14:font="MS Gothic"/>
                </w14:checkbox>
              </w:sdtPr>
              <w:sdtContent>
                <w:r w:rsidR="007A2B90" w:rsidRPr="005275D3">
                  <w:rPr>
                    <w:rFonts w:ascii="MS Gothic" w:eastAsia="MS Gothic" w:hAnsi="MS Gothic"/>
                    <w:b/>
                    <w:lang w:val="bg-BG"/>
                  </w:rPr>
                  <w:t>☐</w:t>
                </w:r>
              </w:sdtContent>
            </w:sdt>
          </w:p>
        </w:tc>
        <w:tc>
          <w:tcPr>
            <w:tcW w:w="4819" w:type="dxa"/>
          </w:tcPr>
          <w:p w14:paraId="361694AC" w14:textId="77777777" w:rsidR="009F5584" w:rsidRPr="005275D3" w:rsidRDefault="009F5584" w:rsidP="006C4BEA">
            <w:pPr>
              <w:pStyle w:val="NormalWeb"/>
              <w:spacing w:before="0" w:beforeAutospacing="0" w:after="0" w:afterAutospacing="0"/>
              <w:jc w:val="center"/>
              <w:rPr>
                <w:lang w:val="bg-BG" w:eastAsia="bg-BG"/>
              </w:rPr>
            </w:pPr>
          </w:p>
          <w:p w14:paraId="26375ACA" w14:textId="03F055C2" w:rsidR="001A540A" w:rsidRPr="005275D3" w:rsidRDefault="001A540A" w:rsidP="006C4BEA">
            <w:pPr>
              <w:pStyle w:val="NormalWeb"/>
              <w:spacing w:before="0" w:beforeAutospacing="0" w:after="0" w:afterAutospacing="0"/>
              <w:jc w:val="center"/>
              <w:rPr>
                <w:lang w:val="bg-BG" w:eastAsia="bg-BG"/>
              </w:rPr>
            </w:pPr>
            <w:r w:rsidRPr="005275D3">
              <w:rPr>
                <w:lang w:val="bg-BG" w:eastAsia="bg-BG"/>
              </w:rPr>
              <w:t>1-месечен EURIBOR</w:t>
            </w:r>
          </w:p>
          <w:p w14:paraId="0502344B" w14:textId="66A0144A" w:rsidR="009F5584" w:rsidRPr="005275D3" w:rsidRDefault="009F5584" w:rsidP="006C4BEA">
            <w:pPr>
              <w:pStyle w:val="NormalWeb"/>
              <w:spacing w:before="0" w:beforeAutospacing="0" w:after="0" w:afterAutospacing="0"/>
              <w:jc w:val="center"/>
              <w:rPr>
                <w:lang w:val="bg-BG"/>
              </w:rPr>
            </w:pPr>
          </w:p>
        </w:tc>
      </w:tr>
      <w:tr w:rsidR="009F5584" w:rsidRPr="005275D3" w14:paraId="7D85F859" w14:textId="77777777" w:rsidTr="00EA0142">
        <w:trPr>
          <w:trHeight w:val="452"/>
          <w:jc w:val="center"/>
        </w:trPr>
        <w:tc>
          <w:tcPr>
            <w:tcW w:w="988" w:type="dxa"/>
            <w:tcMar>
              <w:top w:w="0" w:type="dxa"/>
              <w:left w:w="70" w:type="dxa"/>
              <w:bottom w:w="0" w:type="dxa"/>
              <w:right w:w="70" w:type="dxa"/>
            </w:tcMar>
            <w:vAlign w:val="center"/>
          </w:tcPr>
          <w:p w14:paraId="71D3FEEA" w14:textId="2D40088B" w:rsidR="009F5584" w:rsidRPr="005275D3" w:rsidRDefault="00000000" w:rsidP="009F5584">
            <w:pPr>
              <w:pStyle w:val="NormalWeb"/>
              <w:spacing w:before="0" w:beforeAutospacing="0" w:after="0" w:afterAutospacing="0"/>
              <w:jc w:val="center"/>
              <w:rPr>
                <w:lang w:val="bg-BG"/>
              </w:rPr>
            </w:pPr>
            <w:sdt>
              <w:sdtPr>
                <w:rPr>
                  <w:b/>
                  <w:lang w:val="bg-BG"/>
                </w:rPr>
                <w:id w:val="-765003194"/>
                <w14:checkbox>
                  <w14:checked w14:val="0"/>
                  <w14:checkedState w14:val="2612" w14:font="MS Gothic"/>
                  <w14:uncheckedState w14:val="2610" w14:font="MS Gothic"/>
                </w14:checkbox>
              </w:sdtPr>
              <w:sdtContent>
                <w:r w:rsidR="00EA0142" w:rsidRPr="005275D3">
                  <w:rPr>
                    <w:rFonts w:ascii="Segoe UI Symbol" w:eastAsia="MS Gothic" w:hAnsi="Segoe UI Symbol" w:cs="Segoe UI Symbol"/>
                    <w:b/>
                    <w:lang w:val="bg-BG"/>
                  </w:rPr>
                  <w:t>☐</w:t>
                </w:r>
              </w:sdtContent>
            </w:sdt>
          </w:p>
        </w:tc>
        <w:tc>
          <w:tcPr>
            <w:tcW w:w="4819" w:type="dxa"/>
          </w:tcPr>
          <w:p w14:paraId="5CB9400A" w14:textId="77777777" w:rsidR="009F5584" w:rsidRPr="005275D3" w:rsidRDefault="009F5584" w:rsidP="009F5584">
            <w:pPr>
              <w:pStyle w:val="NormalWeb"/>
              <w:spacing w:before="0" w:beforeAutospacing="0" w:after="0" w:afterAutospacing="0"/>
              <w:jc w:val="center"/>
              <w:rPr>
                <w:lang w:val="bg-BG" w:eastAsia="bg-BG"/>
              </w:rPr>
            </w:pPr>
          </w:p>
          <w:p w14:paraId="6C9786F3" w14:textId="1C1E97FB" w:rsidR="009F5584" w:rsidRPr="005275D3" w:rsidRDefault="009F5584" w:rsidP="009F5584">
            <w:pPr>
              <w:pStyle w:val="NormalWeb"/>
              <w:spacing w:before="0" w:beforeAutospacing="0" w:after="0" w:afterAutospacing="0"/>
              <w:jc w:val="center"/>
              <w:rPr>
                <w:lang w:val="bg-BG" w:eastAsia="bg-BG"/>
              </w:rPr>
            </w:pPr>
            <w:r w:rsidRPr="005275D3">
              <w:rPr>
                <w:lang w:val="bg-BG" w:eastAsia="bg-BG"/>
              </w:rPr>
              <w:t>Основен лихвен процент на БНБ</w:t>
            </w:r>
          </w:p>
          <w:p w14:paraId="6CE73916" w14:textId="77777777" w:rsidR="009F5584" w:rsidRPr="005275D3" w:rsidRDefault="009F5584" w:rsidP="009F5584">
            <w:pPr>
              <w:pStyle w:val="NormalWeb"/>
              <w:spacing w:before="0" w:beforeAutospacing="0" w:after="0" w:afterAutospacing="0"/>
              <w:jc w:val="center"/>
              <w:rPr>
                <w:lang w:val="bg-BG" w:eastAsia="bg-BG"/>
              </w:rPr>
            </w:pPr>
          </w:p>
        </w:tc>
      </w:tr>
    </w:tbl>
    <w:p w14:paraId="6FAC75D4" w14:textId="60EDE144" w:rsidR="00D262B4" w:rsidRPr="005275D3" w:rsidRDefault="001A540A" w:rsidP="001A540A">
      <w:pPr>
        <w:tabs>
          <w:tab w:val="left" w:pos="567"/>
        </w:tabs>
        <w:spacing w:before="60"/>
        <w:jc w:val="both"/>
        <w:rPr>
          <w:b/>
          <w:i/>
          <w:iCs/>
        </w:rPr>
      </w:pPr>
      <w:r w:rsidRPr="005275D3">
        <w:rPr>
          <w:i/>
          <w:iCs/>
        </w:rPr>
        <w:t xml:space="preserve">* Участниците избират референтен лихвен процент чрез поставяне на </w:t>
      </w:r>
      <w:r w:rsidRPr="005275D3">
        <w:rPr>
          <w:b/>
          <w:i/>
          <w:iCs/>
        </w:rPr>
        <w:t xml:space="preserve">отметка в прозореца </w:t>
      </w:r>
      <w:r w:rsidRPr="005275D3">
        <w:rPr>
          <w:b/>
        </w:rPr>
        <w:t>„</w:t>
      </w:r>
      <w:sdt>
        <w:sdtPr>
          <w:rPr>
            <w:b/>
          </w:rPr>
          <w:id w:val="-1113046969"/>
          <w14:checkbox>
            <w14:checked w14:val="0"/>
            <w14:checkedState w14:val="2612" w14:font="MS Gothic"/>
            <w14:uncheckedState w14:val="2610" w14:font="MS Gothic"/>
          </w14:checkbox>
        </w:sdtPr>
        <w:sdtContent>
          <w:r w:rsidRPr="005275D3">
            <w:rPr>
              <w:rFonts w:ascii="Segoe UI Symbol" w:eastAsia="MS Gothic" w:hAnsi="Segoe UI Symbol" w:cs="Segoe UI Symbol"/>
              <w:b/>
            </w:rPr>
            <w:t>☐</w:t>
          </w:r>
        </w:sdtContent>
      </w:sdt>
      <w:r w:rsidRPr="005275D3">
        <w:rPr>
          <w:b/>
        </w:rPr>
        <w:t>“</w:t>
      </w:r>
      <w:r w:rsidRPr="005275D3">
        <w:rPr>
          <w:b/>
          <w:i/>
          <w:iCs/>
        </w:rPr>
        <w:t xml:space="preserve"> пред избрания референтен лихвен процент</w:t>
      </w:r>
      <w:r w:rsidRPr="005275D3">
        <w:rPr>
          <w:i/>
          <w:iCs/>
        </w:rPr>
        <w:t>.</w:t>
      </w:r>
    </w:p>
    <w:p w14:paraId="3DC91502" w14:textId="77777777" w:rsidR="001A540A" w:rsidRPr="005275D3" w:rsidRDefault="001A540A" w:rsidP="001A540A">
      <w:pPr>
        <w:tabs>
          <w:tab w:val="left" w:pos="567"/>
        </w:tabs>
        <w:spacing w:before="60"/>
        <w:jc w:val="both"/>
      </w:pPr>
    </w:p>
    <w:tbl>
      <w:tblPr>
        <w:tblW w:w="3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268"/>
      </w:tblGrid>
      <w:tr w:rsidR="0097518C" w:rsidRPr="005275D3" w14:paraId="5AC3B5E3" w14:textId="77777777" w:rsidTr="007C071E">
        <w:trPr>
          <w:trHeight w:val="485"/>
          <w:jc w:val="center"/>
        </w:trPr>
        <w:tc>
          <w:tcPr>
            <w:tcW w:w="1277" w:type="dxa"/>
            <w:shd w:val="clear" w:color="auto" w:fill="D8D8D8"/>
            <w:tcMar>
              <w:top w:w="0" w:type="dxa"/>
              <w:left w:w="70" w:type="dxa"/>
              <w:bottom w:w="0" w:type="dxa"/>
              <w:right w:w="70" w:type="dxa"/>
            </w:tcMar>
            <w:vAlign w:val="center"/>
            <w:hideMark/>
          </w:tcPr>
          <w:p w14:paraId="46313A74" w14:textId="77777777" w:rsidR="0097518C" w:rsidRPr="005275D3" w:rsidRDefault="0097518C" w:rsidP="00DF2A18">
            <w:pPr>
              <w:pStyle w:val="NormalWeb"/>
              <w:spacing w:before="0" w:beforeAutospacing="0" w:after="0" w:afterAutospacing="0"/>
              <w:jc w:val="center"/>
              <w:rPr>
                <w:lang w:val="bg-BG"/>
              </w:rPr>
            </w:pPr>
            <w:bookmarkStart w:id="1" w:name="_Hlk528737884"/>
            <w:r w:rsidRPr="005275D3">
              <w:rPr>
                <w:b/>
                <w:bCs/>
                <w:lang w:val="bg-BG"/>
              </w:rPr>
              <w:lastRenderedPageBreak/>
              <w:t>Година</w:t>
            </w:r>
          </w:p>
        </w:tc>
        <w:tc>
          <w:tcPr>
            <w:tcW w:w="2268" w:type="dxa"/>
            <w:shd w:val="clear" w:color="auto" w:fill="D8D8D8"/>
          </w:tcPr>
          <w:p w14:paraId="699C5878" w14:textId="77777777" w:rsidR="0097518C" w:rsidRPr="005275D3" w:rsidRDefault="0097518C" w:rsidP="00DF2A18">
            <w:pPr>
              <w:pStyle w:val="NormalWeb"/>
              <w:spacing w:before="0" w:beforeAutospacing="0" w:after="0" w:afterAutospacing="0"/>
              <w:jc w:val="center"/>
              <w:rPr>
                <w:b/>
                <w:bCs/>
                <w:lang w:val="bg-BG"/>
              </w:rPr>
            </w:pPr>
            <w:r w:rsidRPr="005275D3">
              <w:rPr>
                <w:b/>
                <w:bCs/>
                <w:lang w:val="bg-BG"/>
              </w:rPr>
              <w:t>Предложен марж (в %)</w:t>
            </w:r>
          </w:p>
        </w:tc>
      </w:tr>
      <w:tr w:rsidR="0097518C" w:rsidRPr="005275D3" w14:paraId="0F3442FB" w14:textId="77777777" w:rsidTr="007C071E">
        <w:trPr>
          <w:trHeight w:val="360"/>
          <w:jc w:val="center"/>
        </w:trPr>
        <w:tc>
          <w:tcPr>
            <w:tcW w:w="1277" w:type="dxa"/>
            <w:tcMar>
              <w:top w:w="0" w:type="dxa"/>
              <w:left w:w="70" w:type="dxa"/>
              <w:bottom w:w="0" w:type="dxa"/>
              <w:right w:w="70" w:type="dxa"/>
            </w:tcMar>
            <w:vAlign w:val="center"/>
          </w:tcPr>
          <w:p w14:paraId="2125BD47" w14:textId="77777777" w:rsidR="0097518C" w:rsidRPr="005275D3" w:rsidRDefault="0097518C" w:rsidP="00DF2A18">
            <w:pPr>
              <w:pStyle w:val="NormalWeb"/>
              <w:spacing w:before="0" w:beforeAutospacing="0" w:after="0" w:afterAutospacing="0"/>
              <w:jc w:val="center"/>
              <w:rPr>
                <w:lang w:val="bg-BG"/>
              </w:rPr>
            </w:pPr>
            <w:r w:rsidRPr="005275D3">
              <w:rPr>
                <w:lang w:val="bg-BG"/>
              </w:rPr>
              <w:t>1</w:t>
            </w:r>
          </w:p>
        </w:tc>
        <w:tc>
          <w:tcPr>
            <w:tcW w:w="2268" w:type="dxa"/>
          </w:tcPr>
          <w:p w14:paraId="3FDB1147" w14:textId="77777777" w:rsidR="0097518C" w:rsidRPr="005275D3" w:rsidRDefault="0097518C" w:rsidP="00DF2A18">
            <w:pPr>
              <w:pStyle w:val="NormalWeb"/>
              <w:spacing w:before="0" w:beforeAutospacing="0" w:after="0" w:afterAutospacing="0"/>
              <w:rPr>
                <w:lang w:val="bg-BG"/>
              </w:rPr>
            </w:pPr>
          </w:p>
        </w:tc>
      </w:tr>
      <w:tr w:rsidR="0097518C" w:rsidRPr="005275D3" w14:paraId="72FDC34B" w14:textId="77777777" w:rsidTr="007C071E">
        <w:trPr>
          <w:trHeight w:val="408"/>
          <w:jc w:val="center"/>
        </w:trPr>
        <w:tc>
          <w:tcPr>
            <w:tcW w:w="1277" w:type="dxa"/>
            <w:tcMar>
              <w:top w:w="0" w:type="dxa"/>
              <w:left w:w="70" w:type="dxa"/>
              <w:bottom w:w="0" w:type="dxa"/>
              <w:right w:w="70" w:type="dxa"/>
            </w:tcMar>
            <w:vAlign w:val="center"/>
          </w:tcPr>
          <w:p w14:paraId="62FA42DD" w14:textId="77777777" w:rsidR="0097518C" w:rsidRPr="005275D3" w:rsidRDefault="0097518C" w:rsidP="00DF2A18">
            <w:pPr>
              <w:pStyle w:val="NormalWeb"/>
              <w:spacing w:before="0" w:beforeAutospacing="0" w:after="0" w:afterAutospacing="0"/>
              <w:jc w:val="center"/>
              <w:rPr>
                <w:lang w:val="bg-BG"/>
              </w:rPr>
            </w:pPr>
            <w:r w:rsidRPr="005275D3">
              <w:rPr>
                <w:lang w:val="bg-BG"/>
              </w:rPr>
              <w:t>2</w:t>
            </w:r>
          </w:p>
        </w:tc>
        <w:tc>
          <w:tcPr>
            <w:tcW w:w="2268" w:type="dxa"/>
          </w:tcPr>
          <w:p w14:paraId="35E41484" w14:textId="77777777" w:rsidR="0097518C" w:rsidRPr="005275D3" w:rsidRDefault="0097518C" w:rsidP="00DF2A18">
            <w:pPr>
              <w:pStyle w:val="NormalWeb"/>
              <w:spacing w:before="0" w:beforeAutospacing="0" w:after="0" w:afterAutospacing="0"/>
              <w:rPr>
                <w:lang w:val="bg-BG"/>
              </w:rPr>
            </w:pPr>
          </w:p>
        </w:tc>
      </w:tr>
      <w:tr w:rsidR="0097518C" w:rsidRPr="005275D3" w14:paraId="6C4E3752" w14:textId="77777777" w:rsidTr="00125ABF">
        <w:trPr>
          <w:trHeight w:val="424"/>
          <w:jc w:val="center"/>
        </w:trPr>
        <w:tc>
          <w:tcPr>
            <w:tcW w:w="1277" w:type="dxa"/>
            <w:tcMar>
              <w:top w:w="0" w:type="dxa"/>
              <w:left w:w="70" w:type="dxa"/>
              <w:bottom w:w="0" w:type="dxa"/>
              <w:right w:w="70" w:type="dxa"/>
            </w:tcMar>
            <w:vAlign w:val="center"/>
          </w:tcPr>
          <w:p w14:paraId="0C3A0145" w14:textId="77777777" w:rsidR="0097518C" w:rsidRPr="005275D3" w:rsidRDefault="0097518C" w:rsidP="00DF2A18">
            <w:pPr>
              <w:pStyle w:val="NormalWeb"/>
              <w:spacing w:before="0" w:beforeAutospacing="0" w:after="0" w:afterAutospacing="0"/>
              <w:jc w:val="center"/>
              <w:rPr>
                <w:lang w:val="bg-BG"/>
              </w:rPr>
            </w:pPr>
            <w:r w:rsidRPr="005275D3">
              <w:rPr>
                <w:lang w:val="bg-BG"/>
              </w:rPr>
              <w:t>3</w:t>
            </w:r>
          </w:p>
        </w:tc>
        <w:tc>
          <w:tcPr>
            <w:tcW w:w="2268" w:type="dxa"/>
          </w:tcPr>
          <w:p w14:paraId="284F72A2" w14:textId="44CBE179" w:rsidR="0097518C" w:rsidRPr="005275D3" w:rsidRDefault="0097518C" w:rsidP="00DF2A18">
            <w:pPr>
              <w:pStyle w:val="NormalWeb"/>
              <w:spacing w:before="0" w:beforeAutospacing="0" w:after="0" w:afterAutospacing="0"/>
              <w:rPr>
                <w:lang w:val="bg-BG"/>
              </w:rPr>
            </w:pPr>
          </w:p>
        </w:tc>
      </w:tr>
    </w:tbl>
    <w:bookmarkEnd w:id="1"/>
    <w:p w14:paraId="65284F5A" w14:textId="4034E024" w:rsidR="009958F2" w:rsidRPr="005275D3" w:rsidRDefault="00D262B4" w:rsidP="009958F2">
      <w:pPr>
        <w:tabs>
          <w:tab w:val="left" w:pos="567"/>
        </w:tabs>
        <w:spacing w:before="60"/>
        <w:jc w:val="both"/>
        <w:rPr>
          <w:i/>
          <w:iCs/>
        </w:rPr>
      </w:pPr>
      <w:r w:rsidRPr="005275D3">
        <w:rPr>
          <w:i/>
          <w:iCs/>
        </w:rPr>
        <w:t xml:space="preserve">* Участниците посочват стойностите на </w:t>
      </w:r>
      <w:r w:rsidRPr="005275D3">
        <w:rPr>
          <w:b/>
          <w:i/>
          <w:iCs/>
        </w:rPr>
        <w:t>маржовете в проценти до втория знак след десетичната запетая</w:t>
      </w:r>
      <w:r w:rsidRPr="005275D3">
        <w:rPr>
          <w:i/>
          <w:iCs/>
        </w:rPr>
        <w:t>.</w:t>
      </w:r>
    </w:p>
    <w:p w14:paraId="4787AAAE" w14:textId="77777777" w:rsidR="00CE7A18" w:rsidRPr="005275D3" w:rsidRDefault="00CE7A18" w:rsidP="009958F2">
      <w:pPr>
        <w:tabs>
          <w:tab w:val="left" w:pos="567"/>
        </w:tabs>
        <w:spacing w:before="60"/>
        <w:jc w:val="both"/>
      </w:pPr>
    </w:p>
    <w:p w14:paraId="78EFC1EB" w14:textId="5D82AC27" w:rsidR="00321678" w:rsidRPr="005275D3" w:rsidRDefault="00321678" w:rsidP="008B26AD">
      <w:pPr>
        <w:pStyle w:val="ListParagraph"/>
        <w:numPr>
          <w:ilvl w:val="0"/>
          <w:numId w:val="9"/>
        </w:numPr>
        <w:tabs>
          <w:tab w:val="left" w:pos="709"/>
        </w:tabs>
        <w:spacing w:before="60"/>
        <w:ind w:left="709" w:hanging="425"/>
        <w:jc w:val="both"/>
      </w:pPr>
      <w:r w:rsidRPr="005275D3">
        <w:t>Предложен годишен лихвен процент</w:t>
      </w:r>
      <w:r w:rsidR="007854F2" w:rsidRPr="005275D3">
        <w:t>, при банков кредит</w:t>
      </w:r>
      <w:r w:rsidRPr="005275D3">
        <w:t xml:space="preserve"> </w:t>
      </w:r>
      <w:r w:rsidRPr="005275D3">
        <w:rPr>
          <w:u w:val="single"/>
        </w:rPr>
        <w:t xml:space="preserve">без </w:t>
      </w:r>
      <w:r w:rsidR="007854F2" w:rsidRPr="005275D3">
        <w:rPr>
          <w:u w:val="single"/>
        </w:rPr>
        <w:t>обезпечение</w:t>
      </w:r>
      <w:r w:rsidRPr="005275D3">
        <w:t>, включително всички такси и разходи по кредита</w:t>
      </w:r>
      <w:r w:rsidR="00FD7CB2" w:rsidRPr="005275D3">
        <w:t xml:space="preserve"> </w:t>
      </w:r>
    </w:p>
    <w:p w14:paraId="20EF4FB5" w14:textId="77777777" w:rsidR="00321678" w:rsidRPr="005275D3" w:rsidRDefault="00321678" w:rsidP="00321678">
      <w:pPr>
        <w:pStyle w:val="ListParagraph"/>
        <w:tabs>
          <w:tab w:val="left" w:pos="567"/>
        </w:tabs>
        <w:spacing w:before="60"/>
        <w:ind w:left="786"/>
        <w:jc w:val="both"/>
      </w:pP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819"/>
      </w:tblGrid>
      <w:tr w:rsidR="00321678" w:rsidRPr="005275D3" w14:paraId="5C005823" w14:textId="77777777" w:rsidTr="005A6D50">
        <w:trPr>
          <w:trHeight w:val="636"/>
          <w:jc w:val="center"/>
        </w:trPr>
        <w:tc>
          <w:tcPr>
            <w:tcW w:w="5807" w:type="dxa"/>
            <w:gridSpan w:val="2"/>
            <w:shd w:val="clear" w:color="auto" w:fill="D8D8D8"/>
            <w:tcMar>
              <w:top w:w="0" w:type="dxa"/>
              <w:left w:w="70" w:type="dxa"/>
              <w:bottom w:w="0" w:type="dxa"/>
              <w:right w:w="70" w:type="dxa"/>
            </w:tcMar>
            <w:vAlign w:val="center"/>
          </w:tcPr>
          <w:p w14:paraId="17D185A2" w14:textId="77777777" w:rsidR="00321678" w:rsidRPr="005275D3" w:rsidRDefault="00321678" w:rsidP="005A6D50">
            <w:pPr>
              <w:pStyle w:val="NormalWeb"/>
              <w:spacing w:before="0" w:beforeAutospacing="0" w:after="0" w:afterAutospacing="0"/>
              <w:jc w:val="center"/>
              <w:rPr>
                <w:b/>
                <w:bCs/>
                <w:lang w:val="bg-BG"/>
              </w:rPr>
            </w:pPr>
            <w:r w:rsidRPr="005275D3">
              <w:rPr>
                <w:b/>
                <w:bCs/>
                <w:lang w:val="bg-BG"/>
              </w:rPr>
              <w:t>Референтен лихвен процент</w:t>
            </w:r>
          </w:p>
        </w:tc>
      </w:tr>
      <w:tr w:rsidR="00321678" w:rsidRPr="005275D3" w14:paraId="173DE6EB" w14:textId="77777777" w:rsidTr="005A6D50">
        <w:trPr>
          <w:trHeight w:val="452"/>
          <w:jc w:val="center"/>
        </w:trPr>
        <w:tc>
          <w:tcPr>
            <w:tcW w:w="988" w:type="dxa"/>
            <w:tcMar>
              <w:top w:w="0" w:type="dxa"/>
              <w:left w:w="70" w:type="dxa"/>
              <w:bottom w:w="0" w:type="dxa"/>
              <w:right w:w="70" w:type="dxa"/>
            </w:tcMar>
            <w:vAlign w:val="center"/>
          </w:tcPr>
          <w:p w14:paraId="14423113" w14:textId="1EE71A8F" w:rsidR="00321678" w:rsidRPr="005275D3" w:rsidRDefault="00000000" w:rsidP="005A6D50">
            <w:pPr>
              <w:pStyle w:val="NormalWeb"/>
              <w:spacing w:before="0" w:beforeAutospacing="0" w:after="0" w:afterAutospacing="0"/>
              <w:jc w:val="center"/>
              <w:rPr>
                <w:b/>
                <w:lang w:val="bg-BG"/>
              </w:rPr>
            </w:pPr>
            <w:sdt>
              <w:sdtPr>
                <w:rPr>
                  <w:b/>
                  <w:lang w:val="bg-BG"/>
                </w:rPr>
                <w:id w:val="1518576123"/>
                <w14:checkbox>
                  <w14:checked w14:val="0"/>
                  <w14:checkedState w14:val="2612" w14:font="MS Gothic"/>
                  <w14:uncheckedState w14:val="2610" w14:font="MS Gothic"/>
                </w14:checkbox>
              </w:sdtPr>
              <w:sdtContent>
                <w:r w:rsidR="00321678" w:rsidRPr="005275D3">
                  <w:rPr>
                    <w:rFonts w:ascii="Segoe UI Symbol" w:eastAsia="MS Gothic" w:hAnsi="Segoe UI Symbol" w:cs="Segoe UI Symbol"/>
                    <w:b/>
                    <w:lang w:val="bg-BG"/>
                  </w:rPr>
                  <w:t>☐</w:t>
                </w:r>
              </w:sdtContent>
            </w:sdt>
          </w:p>
        </w:tc>
        <w:tc>
          <w:tcPr>
            <w:tcW w:w="4819" w:type="dxa"/>
          </w:tcPr>
          <w:p w14:paraId="4A617121" w14:textId="77777777" w:rsidR="00321678" w:rsidRPr="005275D3" w:rsidRDefault="00321678" w:rsidP="005A6D50">
            <w:pPr>
              <w:pStyle w:val="NormalWeb"/>
              <w:spacing w:before="0" w:beforeAutospacing="0" w:after="0" w:afterAutospacing="0"/>
              <w:jc w:val="center"/>
              <w:rPr>
                <w:lang w:val="bg-BG"/>
              </w:rPr>
            </w:pPr>
            <w:r w:rsidRPr="005275D3">
              <w:rPr>
                <w:lang w:val="bg-BG" w:eastAsia="bg-BG"/>
              </w:rPr>
              <w:t>1-месечен EURIBOR</w:t>
            </w:r>
          </w:p>
        </w:tc>
      </w:tr>
      <w:tr w:rsidR="00EC0C7D" w:rsidRPr="005275D3" w14:paraId="05BCBD1F" w14:textId="77777777" w:rsidTr="005A6D50">
        <w:trPr>
          <w:trHeight w:val="452"/>
          <w:jc w:val="center"/>
        </w:trPr>
        <w:tc>
          <w:tcPr>
            <w:tcW w:w="988" w:type="dxa"/>
            <w:tcMar>
              <w:top w:w="0" w:type="dxa"/>
              <w:left w:w="70" w:type="dxa"/>
              <w:bottom w:w="0" w:type="dxa"/>
              <w:right w:w="70" w:type="dxa"/>
            </w:tcMar>
            <w:vAlign w:val="center"/>
          </w:tcPr>
          <w:p w14:paraId="56203EC8" w14:textId="5795CDC9" w:rsidR="00EC0C7D" w:rsidRPr="005275D3" w:rsidRDefault="00EC0C7D" w:rsidP="005A6D50">
            <w:pPr>
              <w:pStyle w:val="NormalWeb"/>
              <w:spacing w:before="0" w:beforeAutospacing="0" w:after="0" w:afterAutospacing="0"/>
              <w:jc w:val="center"/>
              <w:rPr>
                <w:lang w:val="bg-BG"/>
              </w:rPr>
            </w:pPr>
            <w:r w:rsidRPr="005275D3">
              <w:rPr>
                <w:rFonts w:ascii="Segoe UI Symbol" w:hAnsi="Segoe UI Symbol" w:cs="Segoe UI Symbol"/>
                <w:lang w:val="bg-BG"/>
              </w:rPr>
              <w:t>☐</w:t>
            </w:r>
          </w:p>
        </w:tc>
        <w:tc>
          <w:tcPr>
            <w:tcW w:w="4819" w:type="dxa"/>
          </w:tcPr>
          <w:p w14:paraId="2E15647C" w14:textId="2E3276A4" w:rsidR="00EC0C7D" w:rsidRPr="005275D3" w:rsidRDefault="00EC0C7D" w:rsidP="005A6D50">
            <w:pPr>
              <w:pStyle w:val="NormalWeb"/>
              <w:spacing w:before="0" w:beforeAutospacing="0" w:after="0" w:afterAutospacing="0"/>
              <w:jc w:val="center"/>
              <w:rPr>
                <w:lang w:val="bg-BG" w:eastAsia="bg-BG"/>
              </w:rPr>
            </w:pPr>
            <w:r w:rsidRPr="005275D3">
              <w:rPr>
                <w:lang w:val="bg-BG" w:eastAsia="bg-BG"/>
              </w:rPr>
              <w:t>Основен лихвен процент на БНБ</w:t>
            </w:r>
          </w:p>
        </w:tc>
      </w:tr>
      <w:tr w:rsidR="00CD43F6" w:rsidRPr="005275D3" w14:paraId="3CE091CF" w14:textId="77777777" w:rsidTr="005A6D50">
        <w:trPr>
          <w:trHeight w:val="452"/>
          <w:jc w:val="center"/>
        </w:trPr>
        <w:tc>
          <w:tcPr>
            <w:tcW w:w="988" w:type="dxa"/>
            <w:tcMar>
              <w:top w:w="0" w:type="dxa"/>
              <w:left w:w="70" w:type="dxa"/>
              <w:bottom w:w="0" w:type="dxa"/>
              <w:right w:w="70" w:type="dxa"/>
            </w:tcMar>
            <w:vAlign w:val="center"/>
          </w:tcPr>
          <w:p w14:paraId="0DF1DC92" w14:textId="77777777" w:rsidR="00CD43F6" w:rsidRPr="005275D3" w:rsidRDefault="00CD43F6" w:rsidP="005A6D50">
            <w:pPr>
              <w:pStyle w:val="NormalWeb"/>
              <w:spacing w:before="0" w:beforeAutospacing="0" w:after="0" w:afterAutospacing="0"/>
              <w:jc w:val="center"/>
              <w:rPr>
                <w:rFonts w:ascii="Segoe UI Symbol" w:hAnsi="Segoe UI Symbol" w:cs="Segoe UI Symbol"/>
                <w:lang w:val="bg-BG"/>
              </w:rPr>
            </w:pPr>
          </w:p>
        </w:tc>
        <w:tc>
          <w:tcPr>
            <w:tcW w:w="4819" w:type="dxa"/>
          </w:tcPr>
          <w:p w14:paraId="12A77282" w14:textId="77777777" w:rsidR="00CD43F6" w:rsidRPr="005275D3" w:rsidRDefault="00CD43F6" w:rsidP="005A6D50">
            <w:pPr>
              <w:pStyle w:val="NormalWeb"/>
              <w:spacing w:before="0" w:beforeAutospacing="0" w:after="0" w:afterAutospacing="0"/>
              <w:jc w:val="center"/>
              <w:rPr>
                <w:lang w:val="bg-BG" w:eastAsia="bg-BG"/>
              </w:rPr>
            </w:pPr>
          </w:p>
        </w:tc>
      </w:tr>
    </w:tbl>
    <w:p w14:paraId="2CCFC3BF" w14:textId="4CC13784" w:rsidR="00321678" w:rsidRPr="005275D3" w:rsidRDefault="00321678" w:rsidP="00321678">
      <w:pPr>
        <w:tabs>
          <w:tab w:val="left" w:pos="567"/>
        </w:tabs>
        <w:spacing w:before="60"/>
        <w:jc w:val="both"/>
        <w:rPr>
          <w:b/>
          <w:i/>
          <w:iCs/>
        </w:rPr>
      </w:pPr>
      <w:r w:rsidRPr="005275D3">
        <w:rPr>
          <w:i/>
          <w:iCs/>
        </w:rPr>
        <w:t xml:space="preserve">* Участниците избират референтен лихвен процент чрез поставяне на </w:t>
      </w:r>
      <w:r w:rsidRPr="005275D3">
        <w:rPr>
          <w:b/>
          <w:i/>
          <w:iCs/>
        </w:rPr>
        <w:t>отметка в прозореца „</w:t>
      </w:r>
      <w:sdt>
        <w:sdtPr>
          <w:rPr>
            <w:b/>
          </w:rPr>
          <w:id w:val="-302767527"/>
          <w14:checkbox>
            <w14:checked w14:val="0"/>
            <w14:checkedState w14:val="2612" w14:font="MS Gothic"/>
            <w14:uncheckedState w14:val="2610" w14:font="MS Gothic"/>
          </w14:checkbox>
        </w:sdtPr>
        <w:sdtContent>
          <w:r w:rsidR="0082137A" w:rsidRPr="005275D3">
            <w:rPr>
              <w:rFonts w:ascii="MS Gothic" w:eastAsia="MS Gothic" w:hAnsi="MS Gothic"/>
              <w:b/>
            </w:rPr>
            <w:t>☐</w:t>
          </w:r>
        </w:sdtContent>
      </w:sdt>
      <w:r w:rsidRPr="005275D3">
        <w:rPr>
          <w:b/>
          <w:i/>
          <w:iCs/>
        </w:rPr>
        <w:t>“ пред избрания референтен лихвен процент</w:t>
      </w:r>
      <w:r w:rsidRPr="005275D3">
        <w:rPr>
          <w:i/>
          <w:iCs/>
        </w:rPr>
        <w:t>.</w:t>
      </w:r>
    </w:p>
    <w:p w14:paraId="39953D92" w14:textId="77777777" w:rsidR="00321678" w:rsidRPr="005275D3" w:rsidRDefault="00321678" w:rsidP="00321678">
      <w:pPr>
        <w:tabs>
          <w:tab w:val="left" w:pos="567"/>
        </w:tabs>
        <w:spacing w:before="60"/>
        <w:jc w:val="both"/>
      </w:pPr>
    </w:p>
    <w:tbl>
      <w:tblPr>
        <w:tblW w:w="3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268"/>
      </w:tblGrid>
      <w:tr w:rsidR="00EC0C7D" w:rsidRPr="005275D3" w14:paraId="2976D600" w14:textId="77777777" w:rsidTr="007C071E">
        <w:trPr>
          <w:trHeight w:val="485"/>
          <w:jc w:val="center"/>
        </w:trPr>
        <w:tc>
          <w:tcPr>
            <w:tcW w:w="1277" w:type="dxa"/>
            <w:shd w:val="clear" w:color="auto" w:fill="D8D8D8"/>
            <w:tcMar>
              <w:top w:w="0" w:type="dxa"/>
              <w:left w:w="70" w:type="dxa"/>
              <w:bottom w:w="0" w:type="dxa"/>
              <w:right w:w="70" w:type="dxa"/>
            </w:tcMar>
            <w:vAlign w:val="center"/>
            <w:hideMark/>
          </w:tcPr>
          <w:p w14:paraId="2D67D2F2" w14:textId="77777777" w:rsidR="00EC0C7D" w:rsidRPr="005275D3" w:rsidRDefault="00EC0C7D" w:rsidP="005A6D50">
            <w:pPr>
              <w:pStyle w:val="NormalWeb"/>
              <w:spacing w:before="0" w:beforeAutospacing="0" w:after="0" w:afterAutospacing="0"/>
              <w:jc w:val="center"/>
              <w:rPr>
                <w:lang w:val="bg-BG"/>
              </w:rPr>
            </w:pPr>
            <w:r w:rsidRPr="005275D3">
              <w:rPr>
                <w:b/>
                <w:bCs/>
                <w:lang w:val="bg-BG"/>
              </w:rPr>
              <w:t>Година</w:t>
            </w:r>
          </w:p>
        </w:tc>
        <w:tc>
          <w:tcPr>
            <w:tcW w:w="2268" w:type="dxa"/>
            <w:shd w:val="clear" w:color="auto" w:fill="D8D8D8"/>
          </w:tcPr>
          <w:p w14:paraId="03145DA4" w14:textId="77777777" w:rsidR="00EC0C7D" w:rsidRPr="005275D3" w:rsidRDefault="00EC0C7D" w:rsidP="005A6D50">
            <w:pPr>
              <w:pStyle w:val="NormalWeb"/>
              <w:spacing w:before="0" w:beforeAutospacing="0" w:after="0" w:afterAutospacing="0"/>
              <w:jc w:val="center"/>
              <w:rPr>
                <w:b/>
                <w:bCs/>
                <w:lang w:val="bg-BG"/>
              </w:rPr>
            </w:pPr>
            <w:r w:rsidRPr="005275D3">
              <w:rPr>
                <w:b/>
                <w:bCs/>
                <w:lang w:val="bg-BG"/>
              </w:rPr>
              <w:t>Предложен марж (в %)</w:t>
            </w:r>
          </w:p>
        </w:tc>
      </w:tr>
      <w:tr w:rsidR="00EC0C7D" w:rsidRPr="005275D3" w14:paraId="0028EA61" w14:textId="77777777" w:rsidTr="007C071E">
        <w:trPr>
          <w:trHeight w:val="360"/>
          <w:jc w:val="center"/>
        </w:trPr>
        <w:tc>
          <w:tcPr>
            <w:tcW w:w="1277" w:type="dxa"/>
            <w:tcMar>
              <w:top w:w="0" w:type="dxa"/>
              <w:left w:w="70" w:type="dxa"/>
              <w:bottom w:w="0" w:type="dxa"/>
              <w:right w:w="70" w:type="dxa"/>
            </w:tcMar>
            <w:vAlign w:val="center"/>
          </w:tcPr>
          <w:p w14:paraId="4EFC8FBF" w14:textId="77777777" w:rsidR="00EC0C7D" w:rsidRPr="005275D3" w:rsidRDefault="00EC0C7D" w:rsidP="0082137A">
            <w:pPr>
              <w:pStyle w:val="NormalWeb"/>
              <w:spacing w:before="0" w:beforeAutospacing="0" w:after="0" w:afterAutospacing="0"/>
              <w:jc w:val="center"/>
              <w:rPr>
                <w:lang w:val="bg-BG"/>
              </w:rPr>
            </w:pPr>
            <w:r w:rsidRPr="005275D3">
              <w:rPr>
                <w:lang w:val="bg-BG"/>
              </w:rPr>
              <w:t>1</w:t>
            </w:r>
          </w:p>
        </w:tc>
        <w:tc>
          <w:tcPr>
            <w:tcW w:w="2268" w:type="dxa"/>
          </w:tcPr>
          <w:p w14:paraId="4A2372BF" w14:textId="77777777" w:rsidR="00EC0C7D" w:rsidRPr="005275D3" w:rsidRDefault="00EC0C7D" w:rsidP="0082137A">
            <w:pPr>
              <w:pStyle w:val="NormalWeb"/>
              <w:spacing w:before="0" w:beforeAutospacing="0" w:after="0" w:afterAutospacing="0"/>
              <w:rPr>
                <w:lang w:val="bg-BG"/>
              </w:rPr>
            </w:pPr>
          </w:p>
        </w:tc>
      </w:tr>
      <w:tr w:rsidR="00EC0C7D" w:rsidRPr="005275D3" w14:paraId="142E4866" w14:textId="77777777" w:rsidTr="00331AB0">
        <w:trPr>
          <w:trHeight w:val="339"/>
          <w:jc w:val="center"/>
        </w:trPr>
        <w:tc>
          <w:tcPr>
            <w:tcW w:w="1277" w:type="dxa"/>
            <w:tcMar>
              <w:top w:w="0" w:type="dxa"/>
              <w:left w:w="70" w:type="dxa"/>
              <w:bottom w:w="0" w:type="dxa"/>
              <w:right w:w="70" w:type="dxa"/>
            </w:tcMar>
            <w:vAlign w:val="center"/>
          </w:tcPr>
          <w:p w14:paraId="3CB43127" w14:textId="77777777" w:rsidR="00EC0C7D" w:rsidRPr="005275D3" w:rsidRDefault="00EC0C7D" w:rsidP="0082137A">
            <w:pPr>
              <w:pStyle w:val="NormalWeb"/>
              <w:spacing w:before="0" w:beforeAutospacing="0" w:after="0" w:afterAutospacing="0"/>
              <w:jc w:val="center"/>
              <w:rPr>
                <w:lang w:val="bg-BG"/>
              </w:rPr>
            </w:pPr>
            <w:r w:rsidRPr="005275D3">
              <w:rPr>
                <w:lang w:val="bg-BG"/>
              </w:rPr>
              <w:t>2</w:t>
            </w:r>
          </w:p>
        </w:tc>
        <w:tc>
          <w:tcPr>
            <w:tcW w:w="2268" w:type="dxa"/>
          </w:tcPr>
          <w:p w14:paraId="67CE7B8F" w14:textId="77777777" w:rsidR="00EC0C7D" w:rsidRPr="005275D3" w:rsidRDefault="00EC0C7D" w:rsidP="0082137A">
            <w:pPr>
              <w:pStyle w:val="NormalWeb"/>
              <w:spacing w:before="0" w:beforeAutospacing="0" w:after="0" w:afterAutospacing="0"/>
              <w:rPr>
                <w:lang w:val="bg-BG"/>
              </w:rPr>
            </w:pPr>
          </w:p>
        </w:tc>
      </w:tr>
      <w:tr w:rsidR="00EC0C7D" w:rsidRPr="005275D3" w14:paraId="0B3AFE21" w14:textId="77777777" w:rsidTr="00331AB0">
        <w:trPr>
          <w:trHeight w:val="331"/>
          <w:jc w:val="center"/>
        </w:trPr>
        <w:tc>
          <w:tcPr>
            <w:tcW w:w="1277" w:type="dxa"/>
            <w:tcMar>
              <w:top w:w="0" w:type="dxa"/>
              <w:left w:w="70" w:type="dxa"/>
              <w:bottom w:w="0" w:type="dxa"/>
              <w:right w:w="70" w:type="dxa"/>
            </w:tcMar>
            <w:vAlign w:val="center"/>
          </w:tcPr>
          <w:p w14:paraId="4E9C2128" w14:textId="77777777" w:rsidR="00EC0C7D" w:rsidRPr="005275D3" w:rsidRDefault="00EC0C7D" w:rsidP="0082137A">
            <w:pPr>
              <w:pStyle w:val="NormalWeb"/>
              <w:spacing w:before="0" w:beforeAutospacing="0" w:after="0" w:afterAutospacing="0"/>
              <w:jc w:val="center"/>
              <w:rPr>
                <w:lang w:val="bg-BG"/>
              </w:rPr>
            </w:pPr>
            <w:r w:rsidRPr="005275D3">
              <w:rPr>
                <w:lang w:val="bg-BG"/>
              </w:rPr>
              <w:t>3</w:t>
            </w:r>
          </w:p>
        </w:tc>
        <w:tc>
          <w:tcPr>
            <w:tcW w:w="2268" w:type="dxa"/>
          </w:tcPr>
          <w:p w14:paraId="56B0ECE6" w14:textId="1906AC77" w:rsidR="00EC0C7D" w:rsidRPr="005275D3" w:rsidRDefault="00EC0C7D" w:rsidP="0082137A">
            <w:pPr>
              <w:pStyle w:val="NormalWeb"/>
              <w:spacing w:before="0" w:beforeAutospacing="0" w:after="0" w:afterAutospacing="0"/>
              <w:rPr>
                <w:lang w:val="bg-BG"/>
              </w:rPr>
            </w:pPr>
          </w:p>
        </w:tc>
      </w:tr>
    </w:tbl>
    <w:p w14:paraId="445B233C" w14:textId="77777777" w:rsidR="00321678" w:rsidRPr="005275D3" w:rsidRDefault="00321678" w:rsidP="00321678">
      <w:pPr>
        <w:tabs>
          <w:tab w:val="left" w:pos="567"/>
        </w:tabs>
        <w:spacing w:before="60"/>
        <w:jc w:val="both"/>
        <w:rPr>
          <w:i/>
          <w:iCs/>
        </w:rPr>
      </w:pPr>
      <w:r w:rsidRPr="005275D3">
        <w:rPr>
          <w:i/>
          <w:iCs/>
        </w:rPr>
        <w:t xml:space="preserve">* Участниците посочват стойностите на </w:t>
      </w:r>
      <w:r w:rsidRPr="005275D3">
        <w:rPr>
          <w:b/>
          <w:i/>
          <w:iCs/>
        </w:rPr>
        <w:t>маржовете в проценти до втория знак след десетичната запетая</w:t>
      </w:r>
      <w:r w:rsidRPr="005275D3">
        <w:rPr>
          <w:i/>
          <w:iCs/>
        </w:rPr>
        <w:t>.</w:t>
      </w:r>
    </w:p>
    <w:p w14:paraId="366795CD" w14:textId="38EFADA7" w:rsidR="001A540A" w:rsidRPr="005275D3" w:rsidRDefault="001A540A" w:rsidP="00DE0146">
      <w:pPr>
        <w:pStyle w:val="ListParagraph"/>
        <w:tabs>
          <w:tab w:val="left" w:pos="567"/>
        </w:tabs>
        <w:spacing w:before="60"/>
        <w:ind w:left="786"/>
        <w:jc w:val="both"/>
      </w:pPr>
    </w:p>
    <w:p w14:paraId="65284F5D" w14:textId="78D3BA70" w:rsidR="009958F2" w:rsidRPr="005275D3" w:rsidRDefault="00C86370" w:rsidP="00093D8C">
      <w:pPr>
        <w:pStyle w:val="ListParagraph"/>
        <w:numPr>
          <w:ilvl w:val="0"/>
          <w:numId w:val="9"/>
        </w:numPr>
        <w:tabs>
          <w:tab w:val="left" w:pos="567"/>
        </w:tabs>
        <w:spacing w:before="60"/>
        <w:ind w:left="709" w:hanging="425"/>
        <w:jc w:val="both"/>
      </w:pPr>
      <w:bookmarkStart w:id="2" w:name="_Hlk84502188"/>
      <w:r w:rsidRPr="005275D3">
        <w:t>Размер на кредита</w:t>
      </w:r>
      <w:bookmarkEnd w:id="2"/>
    </w:p>
    <w:p w14:paraId="65284F5E" w14:textId="5D62DB6E" w:rsidR="009958F2" w:rsidRPr="005275D3" w:rsidRDefault="009958F2" w:rsidP="009958F2">
      <w:pPr>
        <w:pStyle w:val="ListParagraph"/>
        <w:tabs>
          <w:tab w:val="left" w:pos="567"/>
        </w:tabs>
        <w:spacing w:before="60"/>
        <w:ind w:left="78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6"/>
        <w:gridCol w:w="3983"/>
      </w:tblGrid>
      <w:tr w:rsidR="00FB32B5" w:rsidRPr="005275D3" w14:paraId="3035E1A9" w14:textId="77777777" w:rsidTr="001A540A">
        <w:tc>
          <w:tcPr>
            <w:tcW w:w="5226" w:type="dxa"/>
            <w:shd w:val="clear" w:color="auto" w:fill="auto"/>
          </w:tcPr>
          <w:p w14:paraId="74BF5159" w14:textId="77777777" w:rsidR="00FB32B5" w:rsidRPr="005275D3" w:rsidRDefault="00FB32B5" w:rsidP="00DF2A18">
            <w:pPr>
              <w:pStyle w:val="ListParagraph"/>
              <w:spacing w:before="120"/>
              <w:jc w:val="both"/>
              <w:rPr>
                <w:bCs/>
              </w:rPr>
            </w:pPr>
          </w:p>
        </w:tc>
        <w:tc>
          <w:tcPr>
            <w:tcW w:w="3983" w:type="dxa"/>
            <w:shd w:val="clear" w:color="auto" w:fill="auto"/>
          </w:tcPr>
          <w:p w14:paraId="6AA0A70F" w14:textId="3FDE9A4E" w:rsidR="00FB32B5" w:rsidRPr="005275D3" w:rsidRDefault="00FB32B5" w:rsidP="00DF2A18">
            <w:pPr>
              <w:spacing w:before="120"/>
              <w:jc w:val="both"/>
            </w:pPr>
            <w:r w:rsidRPr="005275D3">
              <w:t xml:space="preserve">        </w:t>
            </w:r>
            <w:r w:rsidR="001A540A" w:rsidRPr="005275D3">
              <w:t>Р</w:t>
            </w:r>
            <w:r w:rsidRPr="005275D3">
              <w:t>азмер</w:t>
            </w:r>
          </w:p>
        </w:tc>
      </w:tr>
      <w:tr w:rsidR="00FB32B5" w:rsidRPr="005275D3" w14:paraId="166CB088" w14:textId="77777777" w:rsidTr="001A540A">
        <w:tc>
          <w:tcPr>
            <w:tcW w:w="5226" w:type="dxa"/>
            <w:shd w:val="clear" w:color="auto" w:fill="auto"/>
          </w:tcPr>
          <w:p w14:paraId="1E1EE9DC" w14:textId="204B3AB0" w:rsidR="00FB32B5" w:rsidRPr="005275D3" w:rsidRDefault="00FB32B5" w:rsidP="00DF2A18">
            <w:pPr>
              <w:spacing w:before="120"/>
              <w:ind w:left="708"/>
              <w:jc w:val="both"/>
            </w:pPr>
            <w:r w:rsidRPr="005275D3">
              <w:t xml:space="preserve">Предложен размер на кредита </w:t>
            </w:r>
            <w:r w:rsidR="00BE18FB" w:rsidRPr="005275D3">
              <w:t xml:space="preserve">при издадена държавна гаранция </w:t>
            </w:r>
            <w:r w:rsidRPr="005275D3">
              <w:t>(</w:t>
            </w:r>
            <w:r w:rsidR="00CE7A18" w:rsidRPr="005275D3">
              <w:t>евро</w:t>
            </w:r>
            <w:r w:rsidRPr="005275D3">
              <w:t>)</w:t>
            </w:r>
          </w:p>
        </w:tc>
        <w:tc>
          <w:tcPr>
            <w:tcW w:w="3983" w:type="dxa"/>
            <w:shd w:val="clear" w:color="auto" w:fill="auto"/>
          </w:tcPr>
          <w:p w14:paraId="22FE721E" w14:textId="5C18D986" w:rsidR="00FB32B5" w:rsidRPr="005275D3" w:rsidRDefault="00FB32B5" w:rsidP="00DF2A18">
            <w:pPr>
              <w:spacing w:before="120"/>
              <w:jc w:val="both"/>
            </w:pPr>
          </w:p>
        </w:tc>
      </w:tr>
      <w:tr w:rsidR="00EC0C7D" w:rsidRPr="005275D3" w14:paraId="50EB061D" w14:textId="77777777" w:rsidTr="001A540A">
        <w:tc>
          <w:tcPr>
            <w:tcW w:w="5226" w:type="dxa"/>
            <w:shd w:val="clear" w:color="auto" w:fill="auto"/>
          </w:tcPr>
          <w:p w14:paraId="51873F74" w14:textId="68C38FBE" w:rsidR="00EC0C7D" w:rsidRPr="005275D3" w:rsidRDefault="00BE18FB" w:rsidP="00DF2A18">
            <w:pPr>
              <w:spacing w:before="120"/>
              <w:ind w:left="708"/>
              <w:jc w:val="both"/>
            </w:pPr>
            <w:r w:rsidRPr="005275D3">
              <w:t xml:space="preserve">Предложен размер на кредита </w:t>
            </w:r>
            <w:r w:rsidR="00EE43C2" w:rsidRPr="005275D3">
              <w:t xml:space="preserve">при банков кредит </w:t>
            </w:r>
            <w:r w:rsidR="00EE43C2" w:rsidRPr="005275D3">
              <w:rPr>
                <w:u w:val="single"/>
              </w:rPr>
              <w:t>без обезпечение</w:t>
            </w:r>
            <w:r w:rsidR="00EE43C2" w:rsidRPr="005275D3" w:rsidDel="00EE43C2">
              <w:t xml:space="preserve"> </w:t>
            </w:r>
            <w:r w:rsidRPr="005275D3">
              <w:t>(евро)</w:t>
            </w:r>
          </w:p>
        </w:tc>
        <w:tc>
          <w:tcPr>
            <w:tcW w:w="3983" w:type="dxa"/>
            <w:shd w:val="clear" w:color="auto" w:fill="auto"/>
          </w:tcPr>
          <w:p w14:paraId="4C9A2785" w14:textId="77777777" w:rsidR="00EC0C7D" w:rsidRPr="005275D3" w:rsidRDefault="00EC0C7D" w:rsidP="00DF2A18">
            <w:pPr>
              <w:spacing w:before="120"/>
              <w:jc w:val="both"/>
            </w:pPr>
          </w:p>
        </w:tc>
      </w:tr>
    </w:tbl>
    <w:p w14:paraId="65284F60" w14:textId="77777777" w:rsidR="009958F2" w:rsidRPr="005275D3" w:rsidRDefault="009958F2" w:rsidP="00AB4489">
      <w:pPr>
        <w:tabs>
          <w:tab w:val="left" w:pos="567"/>
        </w:tabs>
        <w:spacing w:before="60"/>
        <w:jc w:val="both"/>
      </w:pPr>
    </w:p>
    <w:p w14:paraId="7209A086" w14:textId="17D7BE60" w:rsidR="0082137A" w:rsidRPr="005275D3" w:rsidRDefault="0082137A" w:rsidP="0082137A">
      <w:pPr>
        <w:tabs>
          <w:tab w:val="left" w:pos="567"/>
        </w:tabs>
        <w:spacing w:before="60"/>
        <w:jc w:val="both"/>
      </w:pPr>
    </w:p>
    <w:p w14:paraId="65284F95" w14:textId="5394694B" w:rsidR="009958F2" w:rsidRPr="005275D3" w:rsidRDefault="0082137A" w:rsidP="0082137A">
      <w:pPr>
        <w:pStyle w:val="ListParagraph"/>
        <w:numPr>
          <w:ilvl w:val="0"/>
          <w:numId w:val="9"/>
        </w:numPr>
        <w:tabs>
          <w:tab w:val="left" w:pos="709"/>
        </w:tabs>
        <w:spacing w:before="60"/>
        <w:ind w:left="709" w:hanging="425"/>
        <w:jc w:val="both"/>
      </w:pPr>
      <w:r w:rsidRPr="005275D3">
        <w:t xml:space="preserve">Посочените в т. 2 и т. 3 параметри на кредит </w:t>
      </w:r>
      <w:r w:rsidR="00F07F0D" w:rsidRPr="005275D3">
        <w:t xml:space="preserve">ще бъдат приложими в зависимост от издаването на държавна гаранция </w:t>
      </w:r>
      <w:r w:rsidR="00277870" w:rsidRPr="005275D3">
        <w:t xml:space="preserve">и </w:t>
      </w:r>
      <w:r w:rsidR="00F07F0D" w:rsidRPr="005275D3">
        <w:t>вид</w:t>
      </w:r>
      <w:r w:rsidR="00277870" w:rsidRPr="005275D3">
        <w:t>а</w:t>
      </w:r>
      <w:r w:rsidR="00F07F0D" w:rsidRPr="005275D3">
        <w:t xml:space="preserve"> </w:t>
      </w:r>
      <w:r w:rsidRPr="005275D3">
        <w:t xml:space="preserve">на </w:t>
      </w:r>
      <w:r w:rsidR="00277870" w:rsidRPr="005275D3">
        <w:t xml:space="preserve">договора </w:t>
      </w:r>
      <w:r w:rsidR="00CD43F6" w:rsidRPr="005275D3">
        <w:t xml:space="preserve">за </w:t>
      </w:r>
      <w:r w:rsidRPr="005275D3">
        <w:t>кредит</w:t>
      </w:r>
      <w:r w:rsidR="00277870" w:rsidRPr="005275D3">
        <w:t xml:space="preserve"> (</w:t>
      </w:r>
      <w:r w:rsidRPr="005275D3">
        <w:t>обезпечен</w:t>
      </w:r>
      <w:r w:rsidR="00277870" w:rsidRPr="005275D3">
        <w:t xml:space="preserve"> или необезпечен)</w:t>
      </w:r>
      <w:r w:rsidRPr="005275D3">
        <w:t>.</w:t>
      </w:r>
    </w:p>
    <w:p w14:paraId="33C147D4" w14:textId="77777777" w:rsidR="0082137A" w:rsidRPr="005275D3" w:rsidRDefault="0082137A" w:rsidP="0082137A">
      <w:pPr>
        <w:pStyle w:val="ListParagraph"/>
        <w:tabs>
          <w:tab w:val="left" w:pos="567"/>
        </w:tabs>
        <w:spacing w:before="60"/>
        <w:ind w:left="786"/>
        <w:jc w:val="both"/>
      </w:pPr>
    </w:p>
    <w:p w14:paraId="10C57468" w14:textId="56C00EC8" w:rsidR="00453419" w:rsidRPr="005275D3" w:rsidRDefault="00453419" w:rsidP="0087554C">
      <w:pPr>
        <w:tabs>
          <w:tab w:val="left" w:pos="567"/>
        </w:tabs>
        <w:spacing w:before="120"/>
        <w:jc w:val="both"/>
        <w:rPr>
          <w:b/>
          <w:bCs/>
        </w:rPr>
      </w:pPr>
      <w:r w:rsidRPr="005275D3">
        <w:rPr>
          <w:b/>
          <w:bCs/>
        </w:rPr>
        <w:lastRenderedPageBreak/>
        <w:t>III. Декларации</w:t>
      </w:r>
    </w:p>
    <w:p w14:paraId="230F8FAF" w14:textId="2F94461F" w:rsidR="00C80417" w:rsidRPr="005275D3" w:rsidRDefault="00C80417" w:rsidP="00C80417">
      <w:pPr>
        <w:pStyle w:val="ListParagraph"/>
        <w:numPr>
          <w:ilvl w:val="0"/>
          <w:numId w:val="10"/>
        </w:numPr>
        <w:tabs>
          <w:tab w:val="left" w:pos="709"/>
        </w:tabs>
        <w:spacing w:before="120"/>
        <w:ind w:hanging="502"/>
        <w:jc w:val="both"/>
      </w:pPr>
      <w:r w:rsidRPr="005275D3">
        <w:t xml:space="preserve">Няма да използваме, нито </w:t>
      </w:r>
      <w:r w:rsidR="00B225D1" w:rsidRPr="005275D3">
        <w:t xml:space="preserve">да </w:t>
      </w:r>
      <w:r w:rsidRPr="005275D3">
        <w:t>оповестяваме пред трети лица сведения и факти, станали ни известни при участие в настоящата процедура.</w:t>
      </w:r>
    </w:p>
    <w:p w14:paraId="4B3899D6" w14:textId="19265042" w:rsidR="00C80417" w:rsidRPr="005275D3" w:rsidRDefault="00C80417" w:rsidP="00C80417">
      <w:pPr>
        <w:pStyle w:val="ListParagraph"/>
        <w:numPr>
          <w:ilvl w:val="0"/>
          <w:numId w:val="10"/>
        </w:numPr>
        <w:tabs>
          <w:tab w:val="left" w:pos="709"/>
        </w:tabs>
        <w:spacing w:before="120"/>
        <w:ind w:hanging="502"/>
        <w:contextualSpacing w:val="0"/>
        <w:jc w:val="both"/>
      </w:pPr>
      <w:r w:rsidRPr="005275D3">
        <w:t>Няма да злоупотребяваме с доверието и да уронваме доброто име на „Булгаргаз” ЕАД.</w:t>
      </w:r>
    </w:p>
    <w:p w14:paraId="29E5BA35" w14:textId="1AD3D254" w:rsidR="00C80417" w:rsidRPr="005275D3" w:rsidRDefault="00C80417" w:rsidP="00C80417">
      <w:pPr>
        <w:pStyle w:val="ListParagraph"/>
        <w:numPr>
          <w:ilvl w:val="0"/>
          <w:numId w:val="10"/>
        </w:numPr>
        <w:tabs>
          <w:tab w:val="left" w:pos="709"/>
        </w:tabs>
        <w:spacing w:before="120"/>
        <w:ind w:left="709" w:hanging="425"/>
        <w:contextualSpacing w:val="0"/>
        <w:jc w:val="both"/>
      </w:pPr>
      <w:r w:rsidRPr="005275D3">
        <w:t>В случай че бъдем избрани за Финансираща страна, декларираме че:</w:t>
      </w:r>
    </w:p>
    <w:p w14:paraId="67B8311B" w14:textId="54BA4021" w:rsidR="00331AB0" w:rsidRPr="005275D3" w:rsidRDefault="00331AB0" w:rsidP="00C80417">
      <w:pPr>
        <w:pStyle w:val="ListParagraph"/>
        <w:numPr>
          <w:ilvl w:val="0"/>
          <w:numId w:val="12"/>
        </w:numPr>
        <w:tabs>
          <w:tab w:val="left" w:pos="709"/>
        </w:tabs>
        <w:spacing w:before="120"/>
        <w:contextualSpacing w:val="0"/>
        <w:jc w:val="both"/>
      </w:pPr>
      <w:r w:rsidRPr="005275D3">
        <w:t>Ще представим проект на договор за кредит и проект на гаранционно споразумение;</w:t>
      </w:r>
    </w:p>
    <w:p w14:paraId="7EFA43FC" w14:textId="05BABB83" w:rsidR="00AF0BC4" w:rsidRPr="005275D3" w:rsidRDefault="00AF0BC4" w:rsidP="00C80417">
      <w:pPr>
        <w:pStyle w:val="ListParagraph"/>
        <w:numPr>
          <w:ilvl w:val="0"/>
          <w:numId w:val="12"/>
        </w:numPr>
        <w:tabs>
          <w:tab w:val="left" w:pos="709"/>
        </w:tabs>
        <w:spacing w:before="120"/>
        <w:contextualSpacing w:val="0"/>
        <w:jc w:val="both"/>
      </w:pPr>
      <w:r w:rsidRPr="005275D3">
        <w:t>Няма да включваме клаузи и/или условия за задължително използване на съпътстващи услуги, за които не съществува икономическа необходимост за „Булгаргаз“ ЕАД.</w:t>
      </w:r>
    </w:p>
    <w:p w14:paraId="620F1919" w14:textId="4D293274" w:rsidR="00AF0BC4" w:rsidRPr="005275D3" w:rsidRDefault="00AF0BC4" w:rsidP="00C80417">
      <w:pPr>
        <w:pStyle w:val="ListParagraph"/>
        <w:numPr>
          <w:ilvl w:val="0"/>
          <w:numId w:val="12"/>
        </w:numPr>
        <w:tabs>
          <w:tab w:val="left" w:pos="709"/>
        </w:tabs>
        <w:spacing w:before="120"/>
        <w:contextualSpacing w:val="0"/>
        <w:jc w:val="both"/>
      </w:pPr>
      <w:r w:rsidRPr="005275D3">
        <w:t>Няма да поставяме ограничителни условия спрямо „Булгаргаз“ ЕАД за сключване на договори за издаване на банкови гаранции и кредити, свързани с търговската дейност на „Булгаргаз“ ЕАД.</w:t>
      </w:r>
    </w:p>
    <w:p w14:paraId="7842CC57" w14:textId="0FCB9152" w:rsidR="00AF0BC4" w:rsidRPr="005275D3" w:rsidRDefault="00C80417" w:rsidP="00C80417">
      <w:pPr>
        <w:pStyle w:val="ListParagraph"/>
        <w:numPr>
          <w:ilvl w:val="0"/>
          <w:numId w:val="12"/>
        </w:numPr>
        <w:tabs>
          <w:tab w:val="left" w:pos="709"/>
        </w:tabs>
        <w:spacing w:before="120"/>
        <w:contextualSpacing w:val="0"/>
        <w:jc w:val="both"/>
      </w:pPr>
      <w:r w:rsidRPr="005275D3">
        <w:t>Наясно сме, че с</w:t>
      </w:r>
      <w:r w:rsidR="00AF0BC4" w:rsidRPr="005275D3">
        <w:t xml:space="preserve">ъгласно чл. 23, ал. 2 от Закона за държавния дълг </w:t>
      </w:r>
      <w:r w:rsidR="00680525" w:rsidRPr="005275D3">
        <w:t xml:space="preserve">(ЗДД) </w:t>
      </w:r>
      <w:r w:rsidR="00AF0BC4" w:rsidRPr="005275D3">
        <w:t>плащане по държавна гаранция се дължи само в случаите, когато:</w:t>
      </w:r>
    </w:p>
    <w:p w14:paraId="35A613E7" w14:textId="77777777" w:rsidR="00AF0BC4" w:rsidRPr="005275D3" w:rsidRDefault="00AF0BC4" w:rsidP="00C80417">
      <w:pPr>
        <w:pStyle w:val="ListParagraph"/>
        <w:numPr>
          <w:ilvl w:val="0"/>
          <w:numId w:val="11"/>
        </w:numPr>
        <w:tabs>
          <w:tab w:val="left" w:pos="709"/>
        </w:tabs>
        <w:spacing w:before="120"/>
        <w:ind w:left="1843"/>
        <w:contextualSpacing w:val="0"/>
        <w:jc w:val="both"/>
      </w:pPr>
      <w:r w:rsidRPr="005275D3">
        <w:t>кредитополучателят „Булгаргаз“ ЕАД не извърши частично или цялостно плащане по кредита в съответствие с условията по договора за заем;</w:t>
      </w:r>
    </w:p>
    <w:p w14:paraId="3F5646C8" w14:textId="77777777" w:rsidR="00AF0BC4" w:rsidRPr="005275D3" w:rsidRDefault="00AF0BC4" w:rsidP="00C80417">
      <w:pPr>
        <w:pStyle w:val="ListParagraph"/>
        <w:numPr>
          <w:ilvl w:val="0"/>
          <w:numId w:val="11"/>
        </w:numPr>
        <w:tabs>
          <w:tab w:val="left" w:pos="709"/>
        </w:tabs>
        <w:spacing w:before="120"/>
        <w:ind w:left="1843"/>
        <w:contextualSpacing w:val="0"/>
        <w:jc w:val="both"/>
      </w:pPr>
      <w:r w:rsidRPr="005275D3">
        <w:t>кредиторът е предприел мерките и действията, предвидени в договор за кредит, за събиране от кредитополучателя на дължимите суми.</w:t>
      </w:r>
    </w:p>
    <w:p w14:paraId="6C6F0B3D" w14:textId="230ADA8D" w:rsidR="00F07F0D" w:rsidRPr="005275D3" w:rsidRDefault="00F07F0D" w:rsidP="00A13219">
      <w:pPr>
        <w:pStyle w:val="ListParagraph"/>
        <w:numPr>
          <w:ilvl w:val="0"/>
          <w:numId w:val="12"/>
        </w:numPr>
        <w:tabs>
          <w:tab w:val="left" w:pos="709"/>
        </w:tabs>
        <w:spacing w:before="120"/>
        <w:contextualSpacing w:val="0"/>
        <w:jc w:val="both"/>
      </w:pPr>
      <w:r w:rsidRPr="005275D3">
        <w:t>Наясно сме, че държавната гаранция покрива до 90% от съответната дължима част от главницата.</w:t>
      </w:r>
    </w:p>
    <w:p w14:paraId="65284F97" w14:textId="35E78598" w:rsidR="009958F2" w:rsidRPr="005275D3" w:rsidRDefault="009958F2" w:rsidP="00C80417">
      <w:pPr>
        <w:pStyle w:val="ListParagraph"/>
        <w:numPr>
          <w:ilvl w:val="0"/>
          <w:numId w:val="10"/>
        </w:numPr>
        <w:tabs>
          <w:tab w:val="left" w:pos="709"/>
        </w:tabs>
        <w:spacing w:before="120"/>
        <w:ind w:left="709" w:hanging="425"/>
        <w:contextualSpacing w:val="0"/>
        <w:jc w:val="both"/>
      </w:pPr>
      <w:r w:rsidRPr="005275D3">
        <w:t>Настоящата оферта е валидна 60 (шестдесет) дни от крайния срок за получаване на офертите.</w:t>
      </w:r>
    </w:p>
    <w:p w14:paraId="5AF06B44" w14:textId="77777777" w:rsidR="001A540A" w:rsidRPr="005275D3" w:rsidRDefault="001A540A" w:rsidP="00C80417">
      <w:pPr>
        <w:tabs>
          <w:tab w:val="left" w:pos="567"/>
        </w:tabs>
        <w:spacing w:before="120"/>
        <w:jc w:val="both"/>
        <w:rPr>
          <w:b/>
          <w:bCs/>
        </w:rPr>
      </w:pPr>
    </w:p>
    <w:p w14:paraId="65284F98" w14:textId="69F405C8" w:rsidR="009958F2" w:rsidRPr="005275D3" w:rsidRDefault="00331AB0" w:rsidP="009958F2">
      <w:pPr>
        <w:tabs>
          <w:tab w:val="left" w:pos="567"/>
        </w:tabs>
        <w:spacing w:before="60"/>
        <w:jc w:val="both"/>
        <w:rPr>
          <w:b/>
          <w:bCs/>
        </w:rPr>
      </w:pPr>
      <w:r w:rsidRPr="005275D3">
        <w:rPr>
          <w:b/>
          <w:bCs/>
        </w:rPr>
        <w:t>Приложения</w:t>
      </w:r>
      <w:r w:rsidR="009958F2" w:rsidRPr="005275D3">
        <w:rPr>
          <w:b/>
          <w:bCs/>
        </w:rPr>
        <w:t>:</w:t>
      </w:r>
    </w:p>
    <w:p w14:paraId="1D7C1E9A" w14:textId="6F8C3218" w:rsidR="00331AB0" w:rsidRPr="005275D3" w:rsidRDefault="00331AB0" w:rsidP="00331AB0">
      <w:pPr>
        <w:pStyle w:val="ListParagraph"/>
        <w:numPr>
          <w:ilvl w:val="0"/>
          <w:numId w:val="17"/>
        </w:numPr>
        <w:tabs>
          <w:tab w:val="left" w:pos="567"/>
        </w:tabs>
        <w:spacing w:before="60"/>
        <w:jc w:val="both"/>
      </w:pPr>
      <w:r w:rsidRPr="005275D3">
        <w:t xml:space="preserve"> </w:t>
      </w:r>
    </w:p>
    <w:p w14:paraId="20F60D27" w14:textId="706AA64C" w:rsidR="00C306D7" w:rsidRPr="005275D3" w:rsidRDefault="00331AB0" w:rsidP="00331AB0">
      <w:pPr>
        <w:pStyle w:val="ListParagraph"/>
        <w:numPr>
          <w:ilvl w:val="0"/>
          <w:numId w:val="17"/>
        </w:numPr>
      </w:pPr>
      <w:r w:rsidRPr="005275D3">
        <w:t xml:space="preserve"> </w:t>
      </w:r>
    </w:p>
    <w:p w14:paraId="66C734AE" w14:textId="5FFC5029" w:rsidR="00331AB0" w:rsidRPr="005275D3" w:rsidRDefault="00331AB0" w:rsidP="00331AB0">
      <w:pPr>
        <w:pStyle w:val="ListParagraph"/>
        <w:numPr>
          <w:ilvl w:val="0"/>
          <w:numId w:val="17"/>
        </w:numPr>
      </w:pPr>
      <w:r w:rsidRPr="005275D3">
        <w:t xml:space="preserve"> </w:t>
      </w:r>
    </w:p>
    <w:p w14:paraId="6D9C1B05" w14:textId="3E85BEE9" w:rsidR="00331AB0" w:rsidRPr="005275D3" w:rsidRDefault="00331AB0" w:rsidP="00DA2C13">
      <w:pPr>
        <w:jc w:val="both"/>
        <w:rPr>
          <w:i/>
          <w:iCs/>
        </w:rPr>
      </w:pPr>
      <w:r w:rsidRPr="005275D3">
        <w:rPr>
          <w:i/>
          <w:iCs/>
        </w:rPr>
        <w:t xml:space="preserve">* Описват се приложените документи: документ за извършване на банкова дейност за участника, съответно за участниците в обединение; </w:t>
      </w:r>
      <w:r w:rsidR="00DA2C13" w:rsidRPr="005275D3">
        <w:rPr>
          <w:i/>
          <w:iCs/>
        </w:rPr>
        <w:t xml:space="preserve">споразумение за създаване на обединение; </w:t>
      </w:r>
      <w:r w:rsidRPr="005275D3">
        <w:rPr>
          <w:i/>
          <w:iCs/>
        </w:rPr>
        <w:t>пълномощно</w:t>
      </w:r>
    </w:p>
    <w:p w14:paraId="65284F9A" w14:textId="77777777" w:rsidR="009958F2" w:rsidRPr="005275D3" w:rsidRDefault="009958F2" w:rsidP="00DA2C13">
      <w:pPr>
        <w:pStyle w:val="Style38"/>
        <w:widowControl/>
        <w:jc w:val="both"/>
      </w:pPr>
    </w:p>
    <w:p w14:paraId="5450020B" w14:textId="5079F419" w:rsidR="001A540A" w:rsidRPr="005275D3" w:rsidRDefault="001A540A" w:rsidP="009958F2">
      <w:pPr>
        <w:pStyle w:val="Style38"/>
        <w:widowControl/>
        <w:jc w:val="both"/>
      </w:pPr>
    </w:p>
    <w:p w14:paraId="71964B88" w14:textId="77777777" w:rsidR="00331AB0" w:rsidRPr="005275D3" w:rsidRDefault="00331AB0" w:rsidP="009958F2">
      <w:pPr>
        <w:pStyle w:val="Style38"/>
        <w:widowControl/>
        <w:jc w:val="both"/>
      </w:pPr>
    </w:p>
    <w:p w14:paraId="65284F9B" w14:textId="467A9AE2" w:rsidR="009958F2" w:rsidRPr="005275D3" w:rsidRDefault="009958F2" w:rsidP="009958F2">
      <w:pPr>
        <w:pStyle w:val="Style38"/>
        <w:widowControl/>
        <w:jc w:val="both"/>
      </w:pPr>
      <w:r w:rsidRPr="005275D3">
        <w:t>Дата………………</w:t>
      </w:r>
      <w:r w:rsidRPr="005275D3">
        <w:tab/>
      </w:r>
      <w:r w:rsidRPr="005275D3">
        <w:tab/>
      </w:r>
      <w:r w:rsidRPr="005275D3">
        <w:tab/>
      </w:r>
      <w:r w:rsidRPr="005275D3">
        <w:tab/>
      </w:r>
      <w:r w:rsidR="00EA0142" w:rsidRPr="005275D3">
        <w:t>Представляващ</w:t>
      </w:r>
      <w:r w:rsidRPr="005275D3">
        <w:t>: ………………</w:t>
      </w:r>
    </w:p>
    <w:p w14:paraId="42D7EFFD" w14:textId="56B905C4" w:rsidR="007E3492" w:rsidRPr="005275D3" w:rsidRDefault="009958F2" w:rsidP="00DE0146">
      <w:pPr>
        <w:pStyle w:val="Style38"/>
        <w:widowControl/>
        <w:jc w:val="both"/>
        <w:rPr>
          <w:b/>
        </w:rPr>
      </w:pPr>
      <w:r w:rsidRPr="005275D3">
        <w:t>(дата на подписване)</w:t>
      </w:r>
      <w:r w:rsidRPr="005275D3">
        <w:tab/>
      </w:r>
      <w:r w:rsidRPr="005275D3">
        <w:tab/>
      </w:r>
      <w:r w:rsidRPr="005275D3">
        <w:tab/>
      </w:r>
      <w:r w:rsidRPr="005275D3">
        <w:tab/>
      </w:r>
      <w:r w:rsidRPr="005275D3">
        <w:tab/>
      </w:r>
      <w:r w:rsidR="00EA0142" w:rsidRPr="005275D3">
        <w:tab/>
      </w:r>
      <w:r w:rsidR="00DA2C13" w:rsidRPr="005275D3">
        <w:tab/>
      </w:r>
      <w:r w:rsidRPr="005275D3">
        <w:t>(подпис)</w:t>
      </w:r>
    </w:p>
    <w:p w14:paraId="1C6B40E2" w14:textId="77777777" w:rsidR="001A540A" w:rsidRPr="005275D3" w:rsidRDefault="001A540A" w:rsidP="00190106">
      <w:pPr>
        <w:pStyle w:val="Style38"/>
        <w:widowControl/>
        <w:jc w:val="right"/>
        <w:rPr>
          <w:rFonts w:ascii="Tahoma" w:hAnsi="Tahoma" w:cs="Tahoma"/>
          <w:b/>
          <w:sz w:val="22"/>
          <w:szCs w:val="22"/>
        </w:rPr>
      </w:pPr>
    </w:p>
    <w:p w14:paraId="6385DBD7" w14:textId="77777777" w:rsidR="00CE7A18" w:rsidRPr="005275D3" w:rsidRDefault="00CE7A18" w:rsidP="00190106">
      <w:pPr>
        <w:pStyle w:val="Style38"/>
        <w:widowControl/>
        <w:jc w:val="right"/>
        <w:rPr>
          <w:rFonts w:ascii="Tahoma" w:hAnsi="Tahoma" w:cs="Tahoma"/>
          <w:b/>
          <w:sz w:val="22"/>
          <w:szCs w:val="22"/>
        </w:rPr>
      </w:pPr>
    </w:p>
    <w:p w14:paraId="07A48CAB" w14:textId="7DB91021" w:rsidR="00125ABF" w:rsidRPr="005275D3" w:rsidRDefault="00125ABF">
      <w:pPr>
        <w:spacing w:after="160" w:line="259" w:lineRule="auto"/>
        <w:rPr>
          <w:rFonts w:ascii="Tahoma" w:hAnsi="Tahoma" w:cs="Tahoma"/>
          <w:b/>
          <w:sz w:val="22"/>
          <w:szCs w:val="22"/>
        </w:rPr>
      </w:pPr>
    </w:p>
    <w:p w14:paraId="02FD2647" w14:textId="77777777" w:rsidR="00CE7A18" w:rsidRPr="005275D3" w:rsidRDefault="00CE7A18" w:rsidP="00190106">
      <w:pPr>
        <w:pStyle w:val="Style38"/>
        <w:widowControl/>
        <w:jc w:val="right"/>
        <w:rPr>
          <w:rFonts w:ascii="Tahoma" w:hAnsi="Tahoma" w:cs="Tahoma"/>
          <w:b/>
          <w:sz w:val="22"/>
          <w:szCs w:val="22"/>
        </w:rPr>
      </w:pPr>
    </w:p>
    <w:p w14:paraId="1E5F8AD3" w14:textId="77777777" w:rsidR="00CE7A18" w:rsidRPr="005275D3" w:rsidRDefault="00CE7A18" w:rsidP="00190106">
      <w:pPr>
        <w:pStyle w:val="Style38"/>
        <w:widowControl/>
        <w:jc w:val="right"/>
        <w:rPr>
          <w:rFonts w:ascii="Tahoma" w:hAnsi="Tahoma" w:cs="Tahoma"/>
          <w:b/>
          <w:sz w:val="22"/>
          <w:szCs w:val="22"/>
        </w:rPr>
      </w:pPr>
    </w:p>
    <w:p w14:paraId="63425A20" w14:textId="77777777" w:rsidR="00CE7A18" w:rsidRPr="005275D3" w:rsidRDefault="00CE7A18" w:rsidP="007C071E">
      <w:pPr>
        <w:pStyle w:val="Style38"/>
        <w:widowControl/>
        <w:rPr>
          <w:b/>
        </w:rPr>
      </w:pPr>
    </w:p>
    <w:sectPr w:rsidR="00CE7A18" w:rsidRPr="005275D3" w:rsidSect="004510C8">
      <w:pgSz w:w="12240" w:h="15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4326C" w14:textId="77777777" w:rsidR="00ED59C9" w:rsidRDefault="00ED59C9" w:rsidP="009958F2">
      <w:r>
        <w:separator/>
      </w:r>
    </w:p>
  </w:endnote>
  <w:endnote w:type="continuationSeparator" w:id="0">
    <w:p w14:paraId="24C57C20" w14:textId="77777777" w:rsidR="00ED59C9" w:rsidRDefault="00ED59C9" w:rsidP="0099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3093" w14:textId="77777777" w:rsidR="00ED59C9" w:rsidRDefault="00ED59C9" w:rsidP="009958F2">
      <w:r>
        <w:separator/>
      </w:r>
    </w:p>
  </w:footnote>
  <w:footnote w:type="continuationSeparator" w:id="0">
    <w:p w14:paraId="270028CF" w14:textId="77777777" w:rsidR="00ED59C9" w:rsidRDefault="00ED59C9" w:rsidP="00995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561"/>
    <w:multiLevelType w:val="hybridMultilevel"/>
    <w:tmpl w:val="B192C5C6"/>
    <w:lvl w:ilvl="0" w:tplc="E286C216">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49733FD"/>
    <w:multiLevelType w:val="hybridMultilevel"/>
    <w:tmpl w:val="C2EED64C"/>
    <w:lvl w:ilvl="0" w:tplc="FFFFFFFF">
      <w:start w:val="1"/>
      <w:numFmt w:val="decimal"/>
      <w:lvlText w:val="%1."/>
      <w:lvlJc w:val="left"/>
      <w:pPr>
        <w:ind w:left="786" w:hanging="360"/>
      </w:pPr>
      <w:rPr>
        <w:rFonts w:hint="default"/>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13D034F3"/>
    <w:multiLevelType w:val="hybridMultilevel"/>
    <w:tmpl w:val="6826E02E"/>
    <w:lvl w:ilvl="0" w:tplc="FFFFFFFF">
      <w:start w:val="1"/>
      <w:numFmt w:val="lowerLetter"/>
      <w:lvlText w:val="%1)"/>
      <w:lvlJc w:val="left"/>
      <w:pPr>
        <w:ind w:left="153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 w15:restartNumberingAfterBreak="0">
    <w:nsid w:val="17F01A8C"/>
    <w:multiLevelType w:val="hybridMultilevel"/>
    <w:tmpl w:val="C2EED64C"/>
    <w:lvl w:ilvl="0" w:tplc="FFFFFFFF">
      <w:start w:val="1"/>
      <w:numFmt w:val="decimal"/>
      <w:lvlText w:val="%1."/>
      <w:lvlJc w:val="left"/>
      <w:pPr>
        <w:ind w:left="786" w:hanging="360"/>
      </w:pPr>
      <w:rPr>
        <w:rFonts w:hint="default"/>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1D3D6F73"/>
    <w:multiLevelType w:val="hybridMultilevel"/>
    <w:tmpl w:val="18DE6E42"/>
    <w:lvl w:ilvl="0" w:tplc="4FC83F42">
      <w:start w:val="3"/>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D4A6639"/>
    <w:multiLevelType w:val="hybridMultilevel"/>
    <w:tmpl w:val="6826E02E"/>
    <w:lvl w:ilvl="0" w:tplc="FFFFFFFF">
      <w:start w:val="1"/>
      <w:numFmt w:val="lowerLetter"/>
      <w:lvlText w:val="%1)"/>
      <w:lvlJc w:val="left"/>
      <w:pPr>
        <w:ind w:left="153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6" w15:restartNumberingAfterBreak="0">
    <w:nsid w:val="1D6159D8"/>
    <w:multiLevelType w:val="hybridMultilevel"/>
    <w:tmpl w:val="BA447B9A"/>
    <w:lvl w:ilvl="0" w:tplc="C68A4E1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E8924B1"/>
    <w:multiLevelType w:val="hybridMultilevel"/>
    <w:tmpl w:val="6826E02E"/>
    <w:lvl w:ilvl="0" w:tplc="04020017">
      <w:start w:val="1"/>
      <w:numFmt w:val="lowerLetter"/>
      <w:lvlText w:val="%1)"/>
      <w:lvlJc w:val="left"/>
      <w:pPr>
        <w:ind w:left="153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8" w15:restartNumberingAfterBreak="0">
    <w:nsid w:val="224C675F"/>
    <w:multiLevelType w:val="hybridMultilevel"/>
    <w:tmpl w:val="F4061B20"/>
    <w:lvl w:ilvl="0" w:tplc="C5D62E12">
      <w:start w:val="3"/>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D4A75A5"/>
    <w:multiLevelType w:val="hybridMultilevel"/>
    <w:tmpl w:val="C14C3670"/>
    <w:lvl w:ilvl="0" w:tplc="2CE22BA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28F1BE2"/>
    <w:multiLevelType w:val="hybridMultilevel"/>
    <w:tmpl w:val="B5BEC118"/>
    <w:lvl w:ilvl="0" w:tplc="DEEA5E8C">
      <w:numFmt w:val="bullet"/>
      <w:lvlText w:val="-"/>
      <w:lvlJc w:val="left"/>
      <w:pPr>
        <w:ind w:left="1429" w:hanging="360"/>
      </w:pPr>
      <w:rPr>
        <w:rFonts w:ascii="Times New Roman" w:eastAsia="Times New Roman" w:hAnsi="Times New Roman" w:cs="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1" w15:restartNumberingAfterBreak="0">
    <w:nsid w:val="4E8876E5"/>
    <w:multiLevelType w:val="hybridMultilevel"/>
    <w:tmpl w:val="70DC39DE"/>
    <w:lvl w:ilvl="0" w:tplc="F426F27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2B8190F"/>
    <w:multiLevelType w:val="hybridMultilevel"/>
    <w:tmpl w:val="C2EED64C"/>
    <w:lvl w:ilvl="0" w:tplc="E286C216">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597521BA"/>
    <w:multiLevelType w:val="hybridMultilevel"/>
    <w:tmpl w:val="C2EED64C"/>
    <w:lvl w:ilvl="0" w:tplc="E286C216">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661C17F0"/>
    <w:multiLevelType w:val="hybridMultilevel"/>
    <w:tmpl w:val="6826E02E"/>
    <w:lvl w:ilvl="0" w:tplc="FFFFFFFF">
      <w:start w:val="1"/>
      <w:numFmt w:val="lowerLetter"/>
      <w:lvlText w:val="%1)"/>
      <w:lvlJc w:val="left"/>
      <w:pPr>
        <w:ind w:left="153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5" w15:restartNumberingAfterBreak="0">
    <w:nsid w:val="66214E0C"/>
    <w:multiLevelType w:val="hybridMultilevel"/>
    <w:tmpl w:val="E5B04688"/>
    <w:lvl w:ilvl="0" w:tplc="04020017">
      <w:start w:val="1"/>
      <w:numFmt w:val="lowerLetter"/>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6" w15:restartNumberingAfterBreak="0">
    <w:nsid w:val="6C7D3F44"/>
    <w:multiLevelType w:val="multilevel"/>
    <w:tmpl w:val="9D901660"/>
    <w:lvl w:ilvl="0">
      <w:start w:val="1"/>
      <w:numFmt w:val="decimal"/>
      <w:lvlText w:val="%1."/>
      <w:lvlJc w:val="left"/>
      <w:pPr>
        <w:ind w:left="720" w:hanging="360"/>
      </w:pPr>
      <w:rPr>
        <w:b/>
      </w:rPr>
    </w:lvl>
    <w:lvl w:ilvl="1">
      <w:start w:val="1"/>
      <w:numFmt w:val="decimal"/>
      <w:lvlText w:val="%2."/>
      <w:lvlJc w:val="left"/>
      <w:pPr>
        <w:ind w:left="926" w:hanging="360"/>
      </w:pPr>
      <w:rPr>
        <w:b/>
        <w:bCs w:val="0"/>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17" w15:restartNumberingAfterBreak="0">
    <w:nsid w:val="71161CDF"/>
    <w:multiLevelType w:val="hybridMultilevel"/>
    <w:tmpl w:val="89D2AFCA"/>
    <w:lvl w:ilvl="0" w:tplc="04020001">
      <w:start w:val="1"/>
      <w:numFmt w:val="bullet"/>
      <w:lvlText w:val=""/>
      <w:lvlJc w:val="left"/>
      <w:pPr>
        <w:ind w:left="2250" w:hanging="360"/>
      </w:pPr>
      <w:rPr>
        <w:rFonts w:ascii="Symbol" w:hAnsi="Symbol" w:hint="default"/>
      </w:rPr>
    </w:lvl>
    <w:lvl w:ilvl="1" w:tplc="04020003" w:tentative="1">
      <w:start w:val="1"/>
      <w:numFmt w:val="bullet"/>
      <w:lvlText w:val="o"/>
      <w:lvlJc w:val="left"/>
      <w:pPr>
        <w:ind w:left="2970" w:hanging="360"/>
      </w:pPr>
      <w:rPr>
        <w:rFonts w:ascii="Courier New" w:hAnsi="Courier New" w:cs="Courier New" w:hint="default"/>
      </w:rPr>
    </w:lvl>
    <w:lvl w:ilvl="2" w:tplc="04020005" w:tentative="1">
      <w:start w:val="1"/>
      <w:numFmt w:val="bullet"/>
      <w:lvlText w:val=""/>
      <w:lvlJc w:val="left"/>
      <w:pPr>
        <w:ind w:left="3690" w:hanging="360"/>
      </w:pPr>
      <w:rPr>
        <w:rFonts w:ascii="Wingdings" w:hAnsi="Wingdings" w:hint="default"/>
      </w:rPr>
    </w:lvl>
    <w:lvl w:ilvl="3" w:tplc="04020001" w:tentative="1">
      <w:start w:val="1"/>
      <w:numFmt w:val="bullet"/>
      <w:lvlText w:val=""/>
      <w:lvlJc w:val="left"/>
      <w:pPr>
        <w:ind w:left="4410" w:hanging="360"/>
      </w:pPr>
      <w:rPr>
        <w:rFonts w:ascii="Symbol" w:hAnsi="Symbol" w:hint="default"/>
      </w:rPr>
    </w:lvl>
    <w:lvl w:ilvl="4" w:tplc="04020003" w:tentative="1">
      <w:start w:val="1"/>
      <w:numFmt w:val="bullet"/>
      <w:lvlText w:val="o"/>
      <w:lvlJc w:val="left"/>
      <w:pPr>
        <w:ind w:left="5130" w:hanging="360"/>
      </w:pPr>
      <w:rPr>
        <w:rFonts w:ascii="Courier New" w:hAnsi="Courier New" w:cs="Courier New" w:hint="default"/>
      </w:rPr>
    </w:lvl>
    <w:lvl w:ilvl="5" w:tplc="04020005" w:tentative="1">
      <w:start w:val="1"/>
      <w:numFmt w:val="bullet"/>
      <w:lvlText w:val=""/>
      <w:lvlJc w:val="left"/>
      <w:pPr>
        <w:ind w:left="5850" w:hanging="360"/>
      </w:pPr>
      <w:rPr>
        <w:rFonts w:ascii="Wingdings" w:hAnsi="Wingdings" w:hint="default"/>
      </w:rPr>
    </w:lvl>
    <w:lvl w:ilvl="6" w:tplc="04020001" w:tentative="1">
      <w:start w:val="1"/>
      <w:numFmt w:val="bullet"/>
      <w:lvlText w:val=""/>
      <w:lvlJc w:val="left"/>
      <w:pPr>
        <w:ind w:left="6570" w:hanging="360"/>
      </w:pPr>
      <w:rPr>
        <w:rFonts w:ascii="Symbol" w:hAnsi="Symbol" w:hint="default"/>
      </w:rPr>
    </w:lvl>
    <w:lvl w:ilvl="7" w:tplc="04020003" w:tentative="1">
      <w:start w:val="1"/>
      <w:numFmt w:val="bullet"/>
      <w:lvlText w:val="o"/>
      <w:lvlJc w:val="left"/>
      <w:pPr>
        <w:ind w:left="7290" w:hanging="360"/>
      </w:pPr>
      <w:rPr>
        <w:rFonts w:ascii="Courier New" w:hAnsi="Courier New" w:cs="Courier New" w:hint="default"/>
      </w:rPr>
    </w:lvl>
    <w:lvl w:ilvl="8" w:tplc="04020005" w:tentative="1">
      <w:start w:val="1"/>
      <w:numFmt w:val="bullet"/>
      <w:lvlText w:val=""/>
      <w:lvlJc w:val="left"/>
      <w:pPr>
        <w:ind w:left="8010" w:hanging="360"/>
      </w:pPr>
      <w:rPr>
        <w:rFonts w:ascii="Wingdings" w:hAnsi="Wingdings" w:hint="default"/>
      </w:rPr>
    </w:lvl>
  </w:abstractNum>
  <w:abstractNum w:abstractNumId="18" w15:restartNumberingAfterBreak="0">
    <w:nsid w:val="749A10B5"/>
    <w:multiLevelType w:val="hybridMultilevel"/>
    <w:tmpl w:val="B6B6EBE4"/>
    <w:lvl w:ilvl="0" w:tplc="B71E764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16cid:durableId="108353838">
    <w:abstractNumId w:val="12"/>
  </w:num>
  <w:num w:numId="2" w16cid:durableId="670252722">
    <w:abstractNumId w:val="0"/>
  </w:num>
  <w:num w:numId="3" w16cid:durableId="1041975019">
    <w:abstractNumId w:val="13"/>
  </w:num>
  <w:num w:numId="4" w16cid:durableId="134684311">
    <w:abstractNumId w:val="16"/>
  </w:num>
  <w:num w:numId="5" w16cid:durableId="1920554821">
    <w:abstractNumId w:val="7"/>
  </w:num>
  <w:num w:numId="6" w16cid:durableId="826289394">
    <w:abstractNumId w:val="5"/>
  </w:num>
  <w:num w:numId="7" w16cid:durableId="88232726">
    <w:abstractNumId w:val="14"/>
  </w:num>
  <w:num w:numId="8" w16cid:durableId="797993393">
    <w:abstractNumId w:val="17"/>
  </w:num>
  <w:num w:numId="9" w16cid:durableId="572006171">
    <w:abstractNumId w:val="1"/>
  </w:num>
  <w:num w:numId="10" w16cid:durableId="314914381">
    <w:abstractNumId w:val="3"/>
  </w:num>
  <w:num w:numId="11" w16cid:durableId="1142229734">
    <w:abstractNumId w:val="10"/>
  </w:num>
  <w:num w:numId="12" w16cid:durableId="1396129464">
    <w:abstractNumId w:val="15"/>
  </w:num>
  <w:num w:numId="13" w16cid:durableId="61411168">
    <w:abstractNumId w:val="2"/>
  </w:num>
  <w:num w:numId="14" w16cid:durableId="107891743">
    <w:abstractNumId w:val="11"/>
  </w:num>
  <w:num w:numId="15" w16cid:durableId="1025398471">
    <w:abstractNumId w:val="18"/>
  </w:num>
  <w:num w:numId="16" w16cid:durableId="286742323">
    <w:abstractNumId w:val="9"/>
  </w:num>
  <w:num w:numId="17" w16cid:durableId="1511986346">
    <w:abstractNumId w:val="6"/>
  </w:num>
  <w:num w:numId="18" w16cid:durableId="1592933475">
    <w:abstractNumId w:val="8"/>
  </w:num>
  <w:num w:numId="19" w16cid:durableId="993096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229"/>
    <w:rsid w:val="00007F40"/>
    <w:rsid w:val="0001138C"/>
    <w:rsid w:val="000137A9"/>
    <w:rsid w:val="00016BFC"/>
    <w:rsid w:val="00062B3C"/>
    <w:rsid w:val="000918A0"/>
    <w:rsid w:val="00092547"/>
    <w:rsid w:val="00093D8C"/>
    <w:rsid w:val="000C78B6"/>
    <w:rsid w:val="000D70B8"/>
    <w:rsid w:val="000F5225"/>
    <w:rsid w:val="00120829"/>
    <w:rsid w:val="00125ABF"/>
    <w:rsid w:val="00140A2E"/>
    <w:rsid w:val="0014587D"/>
    <w:rsid w:val="00166194"/>
    <w:rsid w:val="00190106"/>
    <w:rsid w:val="00192FE4"/>
    <w:rsid w:val="00196CF6"/>
    <w:rsid w:val="001A540A"/>
    <w:rsid w:val="001F77C1"/>
    <w:rsid w:val="00233F92"/>
    <w:rsid w:val="002430F4"/>
    <w:rsid w:val="00273C8A"/>
    <w:rsid w:val="002745B6"/>
    <w:rsid w:val="00277870"/>
    <w:rsid w:val="002B2B30"/>
    <w:rsid w:val="002B66B1"/>
    <w:rsid w:val="00310907"/>
    <w:rsid w:val="00321678"/>
    <w:rsid w:val="00331AB0"/>
    <w:rsid w:val="00332B98"/>
    <w:rsid w:val="0036011C"/>
    <w:rsid w:val="00363CE3"/>
    <w:rsid w:val="00380833"/>
    <w:rsid w:val="003B25AA"/>
    <w:rsid w:val="003D2B5A"/>
    <w:rsid w:val="003D3D46"/>
    <w:rsid w:val="00410E13"/>
    <w:rsid w:val="004125BD"/>
    <w:rsid w:val="004134D2"/>
    <w:rsid w:val="004242BB"/>
    <w:rsid w:val="004449F8"/>
    <w:rsid w:val="004479C8"/>
    <w:rsid w:val="00450561"/>
    <w:rsid w:val="00453419"/>
    <w:rsid w:val="00494884"/>
    <w:rsid w:val="004C57CA"/>
    <w:rsid w:val="004E73B8"/>
    <w:rsid w:val="00514ABD"/>
    <w:rsid w:val="005172C3"/>
    <w:rsid w:val="005275D3"/>
    <w:rsid w:val="00534FBB"/>
    <w:rsid w:val="00552512"/>
    <w:rsid w:val="00561A32"/>
    <w:rsid w:val="00582D82"/>
    <w:rsid w:val="00594628"/>
    <w:rsid w:val="005A4D25"/>
    <w:rsid w:val="005F1584"/>
    <w:rsid w:val="005F3110"/>
    <w:rsid w:val="005F511F"/>
    <w:rsid w:val="005F6229"/>
    <w:rsid w:val="00606105"/>
    <w:rsid w:val="00636245"/>
    <w:rsid w:val="00652917"/>
    <w:rsid w:val="00680525"/>
    <w:rsid w:val="006A461A"/>
    <w:rsid w:val="006B5DF2"/>
    <w:rsid w:val="006C550B"/>
    <w:rsid w:val="007102AD"/>
    <w:rsid w:val="00782DDE"/>
    <w:rsid w:val="007854F2"/>
    <w:rsid w:val="007A2B90"/>
    <w:rsid w:val="007A3E76"/>
    <w:rsid w:val="007C071E"/>
    <w:rsid w:val="007C36CA"/>
    <w:rsid w:val="007D2AB5"/>
    <w:rsid w:val="007E3492"/>
    <w:rsid w:val="007E52BE"/>
    <w:rsid w:val="008005FA"/>
    <w:rsid w:val="008041E4"/>
    <w:rsid w:val="00817603"/>
    <w:rsid w:val="0082137A"/>
    <w:rsid w:val="008228A5"/>
    <w:rsid w:val="00833EC1"/>
    <w:rsid w:val="00847E96"/>
    <w:rsid w:val="00871874"/>
    <w:rsid w:val="00873423"/>
    <w:rsid w:val="0087554C"/>
    <w:rsid w:val="00883F4E"/>
    <w:rsid w:val="00886399"/>
    <w:rsid w:val="008937FC"/>
    <w:rsid w:val="008B26AD"/>
    <w:rsid w:val="008D3595"/>
    <w:rsid w:val="008E5D7C"/>
    <w:rsid w:val="008F2428"/>
    <w:rsid w:val="00932B78"/>
    <w:rsid w:val="009373F0"/>
    <w:rsid w:val="00951D1E"/>
    <w:rsid w:val="009721E6"/>
    <w:rsid w:val="0097518C"/>
    <w:rsid w:val="009958F2"/>
    <w:rsid w:val="009A5FE8"/>
    <w:rsid w:val="009B13B5"/>
    <w:rsid w:val="009B3214"/>
    <w:rsid w:val="009B6482"/>
    <w:rsid w:val="009C52AD"/>
    <w:rsid w:val="009F48FE"/>
    <w:rsid w:val="009F5584"/>
    <w:rsid w:val="00A12D4E"/>
    <w:rsid w:val="00A13219"/>
    <w:rsid w:val="00A37B56"/>
    <w:rsid w:val="00A56D12"/>
    <w:rsid w:val="00A628AD"/>
    <w:rsid w:val="00A66074"/>
    <w:rsid w:val="00AA3ABC"/>
    <w:rsid w:val="00AB4489"/>
    <w:rsid w:val="00AC1665"/>
    <w:rsid w:val="00AE79BB"/>
    <w:rsid w:val="00AF0BC4"/>
    <w:rsid w:val="00B225D1"/>
    <w:rsid w:val="00B44DF0"/>
    <w:rsid w:val="00BB19C5"/>
    <w:rsid w:val="00BC40ED"/>
    <w:rsid w:val="00BC4B81"/>
    <w:rsid w:val="00BD67CB"/>
    <w:rsid w:val="00BE18FB"/>
    <w:rsid w:val="00C306D7"/>
    <w:rsid w:val="00C80157"/>
    <w:rsid w:val="00C80417"/>
    <w:rsid w:val="00C86370"/>
    <w:rsid w:val="00CD43F6"/>
    <w:rsid w:val="00CE7A18"/>
    <w:rsid w:val="00CF528B"/>
    <w:rsid w:val="00CF68B6"/>
    <w:rsid w:val="00D262B4"/>
    <w:rsid w:val="00D354D5"/>
    <w:rsid w:val="00D92300"/>
    <w:rsid w:val="00DA2C13"/>
    <w:rsid w:val="00DA4A4D"/>
    <w:rsid w:val="00DB136C"/>
    <w:rsid w:val="00DE0146"/>
    <w:rsid w:val="00DE1501"/>
    <w:rsid w:val="00DE7BBA"/>
    <w:rsid w:val="00E26159"/>
    <w:rsid w:val="00E504C3"/>
    <w:rsid w:val="00E6173D"/>
    <w:rsid w:val="00E730E8"/>
    <w:rsid w:val="00E92FD5"/>
    <w:rsid w:val="00EA0142"/>
    <w:rsid w:val="00EA05D7"/>
    <w:rsid w:val="00EB10E2"/>
    <w:rsid w:val="00EC0C7D"/>
    <w:rsid w:val="00ED1947"/>
    <w:rsid w:val="00ED59C9"/>
    <w:rsid w:val="00EE43C2"/>
    <w:rsid w:val="00F07F0D"/>
    <w:rsid w:val="00F251CE"/>
    <w:rsid w:val="00F26C61"/>
    <w:rsid w:val="00F279EB"/>
    <w:rsid w:val="00F3763C"/>
    <w:rsid w:val="00F47F09"/>
    <w:rsid w:val="00F521BD"/>
    <w:rsid w:val="00F75919"/>
    <w:rsid w:val="00F767D4"/>
    <w:rsid w:val="00FB32B5"/>
    <w:rsid w:val="00FD7CB2"/>
    <w:rsid w:val="00FE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4EE2"/>
  <w15:chartTrackingRefBased/>
  <w15:docId w15:val="{6FD10446-481A-49DC-933D-62CD39C5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B5"/>
    <w:pPr>
      <w:spacing w:after="0" w:line="240" w:lineRule="auto"/>
    </w:pPr>
    <w:rPr>
      <w:rFonts w:ascii="Times New Roman" w:eastAsia="Times New Roman" w:hAnsi="Times New Roman" w:cs="Times New Roman"/>
      <w:sz w:val="24"/>
      <w:szCs w:val="24"/>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8F2"/>
    <w:pPr>
      <w:tabs>
        <w:tab w:val="center" w:pos="4536"/>
        <w:tab w:val="right" w:pos="9072"/>
      </w:tabs>
    </w:pPr>
  </w:style>
  <w:style w:type="character" w:customStyle="1" w:styleId="HeaderChar">
    <w:name w:val="Header Char"/>
    <w:basedOn w:val="DefaultParagraphFont"/>
    <w:link w:val="Header"/>
    <w:rsid w:val="009958F2"/>
    <w:rPr>
      <w:rFonts w:ascii="Times New Roman" w:eastAsia="Times New Roman" w:hAnsi="Times New Roman" w:cs="Times New Roman"/>
      <w:sz w:val="24"/>
      <w:szCs w:val="24"/>
      <w:lang w:val="bg-BG"/>
    </w:rPr>
  </w:style>
  <w:style w:type="paragraph" w:customStyle="1" w:styleId="Style38">
    <w:name w:val="Style38"/>
    <w:basedOn w:val="Normal"/>
    <w:uiPriority w:val="99"/>
    <w:rsid w:val="009958F2"/>
    <w:pPr>
      <w:widowControl w:val="0"/>
      <w:autoSpaceDE w:val="0"/>
      <w:autoSpaceDN w:val="0"/>
      <w:adjustRightInd w:val="0"/>
    </w:pPr>
  </w:style>
  <w:style w:type="paragraph" w:styleId="FootnoteText">
    <w:name w:val="footnote text"/>
    <w:basedOn w:val="Normal"/>
    <w:link w:val="FootnoteTextChar"/>
    <w:uiPriority w:val="99"/>
    <w:semiHidden/>
    <w:unhideWhenUsed/>
    <w:rsid w:val="009958F2"/>
    <w:rPr>
      <w:sz w:val="20"/>
      <w:szCs w:val="20"/>
    </w:rPr>
  </w:style>
  <w:style w:type="character" w:customStyle="1" w:styleId="FootnoteTextChar">
    <w:name w:val="Footnote Text Char"/>
    <w:basedOn w:val="DefaultParagraphFont"/>
    <w:link w:val="FootnoteText"/>
    <w:uiPriority w:val="99"/>
    <w:semiHidden/>
    <w:rsid w:val="009958F2"/>
    <w:rPr>
      <w:rFonts w:ascii="Times New Roman" w:eastAsia="Times New Roman" w:hAnsi="Times New Roman" w:cs="Times New Roman"/>
      <w:sz w:val="20"/>
      <w:szCs w:val="20"/>
      <w:lang w:val="bg-BG"/>
    </w:rPr>
  </w:style>
  <w:style w:type="character" w:styleId="FootnoteReference">
    <w:name w:val="footnote reference"/>
    <w:basedOn w:val="DefaultParagraphFont"/>
    <w:uiPriority w:val="99"/>
    <w:semiHidden/>
    <w:unhideWhenUsed/>
    <w:rsid w:val="009958F2"/>
    <w:rPr>
      <w:vertAlign w:val="superscript"/>
    </w:rPr>
  </w:style>
  <w:style w:type="paragraph" w:customStyle="1" w:styleId="Style5">
    <w:name w:val="Style5"/>
    <w:basedOn w:val="Normal"/>
    <w:uiPriority w:val="99"/>
    <w:rsid w:val="009958F2"/>
    <w:pPr>
      <w:widowControl w:val="0"/>
      <w:autoSpaceDE w:val="0"/>
      <w:autoSpaceDN w:val="0"/>
      <w:adjustRightInd w:val="0"/>
      <w:spacing w:line="281" w:lineRule="exact"/>
      <w:jc w:val="center"/>
    </w:pPr>
  </w:style>
  <w:style w:type="character" w:customStyle="1" w:styleId="FontStyle109">
    <w:name w:val="Font Style109"/>
    <w:uiPriority w:val="99"/>
    <w:rsid w:val="009958F2"/>
    <w:rPr>
      <w:rFonts w:ascii="Times New Roman" w:hAnsi="Times New Roman" w:cs="Times New Roman"/>
      <w:sz w:val="22"/>
      <w:szCs w:val="22"/>
    </w:rPr>
  </w:style>
  <w:style w:type="paragraph" w:styleId="ListParagraph">
    <w:name w:val="List Paragraph"/>
    <w:basedOn w:val="Normal"/>
    <w:uiPriority w:val="34"/>
    <w:qFormat/>
    <w:rsid w:val="009958F2"/>
    <w:pPr>
      <w:ind w:left="720"/>
      <w:contextualSpacing/>
    </w:pPr>
  </w:style>
  <w:style w:type="paragraph" w:styleId="NormalWeb">
    <w:name w:val="Normal (Web)"/>
    <w:basedOn w:val="Normal"/>
    <w:uiPriority w:val="99"/>
    <w:unhideWhenUsed/>
    <w:rsid w:val="009958F2"/>
    <w:pPr>
      <w:spacing w:before="100" w:beforeAutospacing="1" w:after="100" w:afterAutospacing="1"/>
    </w:pPr>
    <w:rPr>
      <w:rFonts w:eastAsiaTheme="minorHAnsi"/>
      <w:lang w:val="en-US"/>
    </w:rPr>
  </w:style>
  <w:style w:type="character" w:customStyle="1" w:styleId="FontStyle107">
    <w:name w:val="Font Style107"/>
    <w:uiPriority w:val="99"/>
    <w:rsid w:val="000D70B8"/>
    <w:rPr>
      <w:rFonts w:ascii="Times New Roman" w:hAnsi="Times New Roman" w:cs="Times New Roman"/>
      <w:b/>
      <w:bCs/>
      <w:i/>
      <w:iCs/>
      <w:sz w:val="22"/>
      <w:szCs w:val="22"/>
    </w:rPr>
  </w:style>
  <w:style w:type="paragraph" w:customStyle="1" w:styleId="Style81">
    <w:name w:val="Style81"/>
    <w:basedOn w:val="Normal"/>
    <w:uiPriority w:val="99"/>
    <w:rsid w:val="000D70B8"/>
    <w:pPr>
      <w:widowControl w:val="0"/>
      <w:autoSpaceDE w:val="0"/>
      <w:autoSpaceDN w:val="0"/>
      <w:adjustRightInd w:val="0"/>
    </w:pPr>
  </w:style>
  <w:style w:type="paragraph" w:styleId="BalloonText">
    <w:name w:val="Balloon Text"/>
    <w:basedOn w:val="Normal"/>
    <w:link w:val="BalloonTextChar"/>
    <w:uiPriority w:val="99"/>
    <w:semiHidden/>
    <w:unhideWhenUsed/>
    <w:rsid w:val="00883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F4E"/>
    <w:rPr>
      <w:rFonts w:ascii="Segoe UI" w:eastAsia="Times New Roman" w:hAnsi="Segoe UI" w:cs="Segoe UI"/>
      <w:sz w:val="18"/>
      <w:szCs w:val="18"/>
      <w:lang w:val="bg-BG"/>
    </w:rPr>
  </w:style>
  <w:style w:type="character" w:customStyle="1" w:styleId="FontStyle16">
    <w:name w:val="Font Style16"/>
    <w:rsid w:val="00321678"/>
    <w:rPr>
      <w:rFonts w:ascii="Times New Roman" w:hAnsi="Times New Roman" w:cs="Times New Roman"/>
      <w:sz w:val="24"/>
      <w:szCs w:val="24"/>
    </w:rPr>
  </w:style>
  <w:style w:type="paragraph" w:styleId="Revision">
    <w:name w:val="Revision"/>
    <w:hidden/>
    <w:uiPriority w:val="99"/>
    <w:semiHidden/>
    <w:rsid w:val="005F3110"/>
    <w:pPr>
      <w:spacing w:after="0" w:line="240" w:lineRule="auto"/>
    </w:pPr>
    <w:rPr>
      <w:rFonts w:ascii="Times New Roman" w:eastAsia="Times New Roman" w:hAnsi="Times New Roman" w:cs="Times New Roman"/>
      <w:sz w:val="24"/>
      <w:szCs w:val="24"/>
      <w:lang w:val="bg-BG"/>
    </w:rPr>
  </w:style>
  <w:style w:type="paragraph" w:customStyle="1" w:styleId="Style8">
    <w:name w:val="Style8"/>
    <w:basedOn w:val="Normal"/>
    <w:uiPriority w:val="99"/>
    <w:rsid w:val="00BD67CB"/>
    <w:pPr>
      <w:widowControl w:val="0"/>
      <w:autoSpaceDE w:val="0"/>
      <w:autoSpaceDN w:val="0"/>
      <w:adjustRightInd w:val="0"/>
      <w:spacing w:line="283" w:lineRule="exact"/>
      <w:ind w:firstLine="566"/>
      <w:jc w:val="both"/>
    </w:pPr>
    <w:rPr>
      <w:lang w:eastAsia="bg-BG"/>
    </w:rPr>
  </w:style>
  <w:style w:type="paragraph" w:customStyle="1" w:styleId="Style18">
    <w:name w:val="Style18"/>
    <w:basedOn w:val="Normal"/>
    <w:uiPriority w:val="99"/>
    <w:rsid w:val="00BD67CB"/>
    <w:pPr>
      <w:widowControl w:val="0"/>
      <w:autoSpaceDE w:val="0"/>
      <w:autoSpaceDN w:val="0"/>
      <w:adjustRightInd w:val="0"/>
      <w:spacing w:line="269" w:lineRule="exact"/>
      <w:ind w:firstLine="571"/>
      <w:jc w:val="both"/>
    </w:pPr>
    <w:rPr>
      <w:lang w:eastAsia="bg-BG"/>
    </w:rPr>
  </w:style>
  <w:style w:type="character" w:customStyle="1" w:styleId="FontStyle39">
    <w:name w:val="Font Style39"/>
    <w:uiPriority w:val="99"/>
    <w:rsid w:val="00BD67CB"/>
    <w:rPr>
      <w:rFonts w:ascii="Times New Roman" w:hAnsi="Times New Roman" w:cs="Times New Roman" w:hint="default"/>
      <w:sz w:val="22"/>
      <w:szCs w:val="22"/>
    </w:rPr>
  </w:style>
  <w:style w:type="character" w:customStyle="1" w:styleId="FontStyle40">
    <w:name w:val="Font Style40"/>
    <w:uiPriority w:val="99"/>
    <w:rsid w:val="00BD67CB"/>
    <w:rPr>
      <w:rFonts w:ascii="Times New Roman" w:hAnsi="Times New Roman" w:cs="Times New Roman" w:hint="default"/>
      <w:b/>
      <w:bCs/>
      <w:sz w:val="22"/>
      <w:szCs w:val="22"/>
    </w:rPr>
  </w:style>
  <w:style w:type="character" w:styleId="CommentReference">
    <w:name w:val="annotation reference"/>
    <w:basedOn w:val="DefaultParagraphFont"/>
    <w:uiPriority w:val="99"/>
    <w:semiHidden/>
    <w:unhideWhenUsed/>
    <w:rsid w:val="00BD67CB"/>
    <w:rPr>
      <w:sz w:val="16"/>
      <w:szCs w:val="16"/>
    </w:rPr>
  </w:style>
  <w:style w:type="paragraph" w:styleId="CommentText">
    <w:name w:val="annotation text"/>
    <w:basedOn w:val="Normal"/>
    <w:link w:val="CommentTextChar"/>
    <w:uiPriority w:val="99"/>
    <w:unhideWhenUsed/>
    <w:rsid w:val="00BD67CB"/>
    <w:rPr>
      <w:sz w:val="20"/>
      <w:szCs w:val="20"/>
      <w:lang w:eastAsia="bg-BG"/>
    </w:rPr>
  </w:style>
  <w:style w:type="character" w:customStyle="1" w:styleId="CommentTextChar">
    <w:name w:val="Comment Text Char"/>
    <w:basedOn w:val="DefaultParagraphFont"/>
    <w:link w:val="CommentText"/>
    <w:uiPriority w:val="99"/>
    <w:rsid w:val="00BD67CB"/>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8B26AD"/>
    <w:rPr>
      <w:b/>
      <w:bCs/>
      <w:lang w:eastAsia="en-US"/>
    </w:rPr>
  </w:style>
  <w:style w:type="character" w:customStyle="1" w:styleId="CommentSubjectChar">
    <w:name w:val="Comment Subject Char"/>
    <w:basedOn w:val="CommentTextChar"/>
    <w:link w:val="CommentSubject"/>
    <w:uiPriority w:val="99"/>
    <w:semiHidden/>
    <w:rsid w:val="008B26AD"/>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088b99d-43cd-4d60-b0a9-8326104c8511">
      <Terms xmlns="http://schemas.microsoft.com/office/infopath/2007/PartnerControls"/>
    </lcf76f155ced4ddcb4097134ff3c332f>
    <TaxCatchAll xmlns="f38f5b12-b473-4caa-8f25-f6d0fa98e77f"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6F4881431301648B3F51FC6C4D6D2BD" ma:contentTypeVersion="16" ma:contentTypeDescription="Създаване на нов документ" ma:contentTypeScope="" ma:versionID="bc07cd78e32779fcf5eff024142c36e1">
  <xsd:schema xmlns:xsd="http://www.w3.org/2001/XMLSchema" xmlns:xs="http://www.w3.org/2001/XMLSchema" xmlns:p="http://schemas.microsoft.com/office/2006/metadata/properties" xmlns:ns1="http://schemas.microsoft.com/sharepoint/v3" xmlns:ns2="d088b99d-43cd-4d60-b0a9-8326104c8511" xmlns:ns3="f38f5b12-b473-4caa-8f25-f6d0fa98e77f" targetNamespace="http://schemas.microsoft.com/office/2006/metadata/properties" ma:root="true" ma:fieldsID="0eedaf544b4825930b4d9d3e05b99b34" ns1:_="" ns2:_="" ns3:_="">
    <xsd:import namespace="http://schemas.microsoft.com/sharepoint/v3"/>
    <xsd:import namespace="d088b99d-43cd-4d60-b0a9-8326104c8511"/>
    <xsd:import namespace="f38f5b12-b473-4caa-8f25-f6d0fa98e7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на единните правила за съвместимост" ma:hidden="true" ma:internalName="_ip_UnifiedCompliancePolicyProperties">
      <xsd:simpleType>
        <xsd:restriction base="dms:Note"/>
      </xsd:simpleType>
    </xsd:element>
    <xsd:element name="_ip_UnifiedCompliancePolicyUIAction" ma:index="19" nillable="true" ma:displayName="Действие в ПИ на единните правила за съвместимос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8b99d-43cd-4d60-b0a9-8326104c8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Етикети за изображения" ma:readOnly="false" ma:fieldId="{5cf76f15-5ced-4ddc-b409-7134ff3c332f}" ma:taxonomyMulti="true" ma:sspId="d0c0a117-6ac0-4dba-a78e-ff4a958a2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f5b12-b473-4caa-8f25-f6d0fa98e77f"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element name="TaxCatchAll" ma:index="22" nillable="true" ma:displayName="Taxonomy Catch All Column" ma:hidden="true" ma:list="{05b61b5b-5402-4e4a-892f-9e9a029fc356}" ma:internalName="TaxCatchAll" ma:showField="CatchAllData" ma:web="f38f5b12-b473-4caa-8f25-f6d0fa98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912D2E-5485-4C7C-A0F1-F139BAB7D5EF}">
  <ds:schemaRefs>
    <ds:schemaRef ds:uri="http://schemas.microsoft.com/office/2006/metadata/properties"/>
    <ds:schemaRef ds:uri="http://schemas.microsoft.com/office/infopath/2007/PartnerControls"/>
    <ds:schemaRef ds:uri="http://schemas.microsoft.com/sharepoint/v3"/>
    <ds:schemaRef ds:uri="d088b99d-43cd-4d60-b0a9-8326104c8511"/>
    <ds:schemaRef ds:uri="f38f5b12-b473-4caa-8f25-f6d0fa98e77f"/>
  </ds:schemaRefs>
</ds:datastoreItem>
</file>

<file path=customXml/itemProps2.xml><?xml version="1.0" encoding="utf-8"?>
<ds:datastoreItem xmlns:ds="http://schemas.openxmlformats.org/officeDocument/2006/customXml" ds:itemID="{0166B316-46B9-41D7-A315-0CE34134EF5A}"/>
</file>

<file path=customXml/itemProps3.xml><?xml version="1.0" encoding="utf-8"?>
<ds:datastoreItem xmlns:ds="http://schemas.openxmlformats.org/officeDocument/2006/customXml" ds:itemID="{7248BD3D-07C0-477C-A5F0-BA160C4C152F}">
  <ds:schemaRefs>
    <ds:schemaRef ds:uri="http://schemas.openxmlformats.org/officeDocument/2006/bibliography"/>
  </ds:schemaRefs>
</ds:datastoreItem>
</file>

<file path=customXml/itemProps4.xml><?xml version="1.0" encoding="utf-8"?>
<ds:datastoreItem xmlns:ds="http://schemas.openxmlformats.org/officeDocument/2006/customXml" ds:itemID="{E112D70E-3638-4083-93CB-0E2D7B871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Delyan Koynov</dc:creator>
  <cp:keywords/>
  <dc:description/>
  <cp:lastModifiedBy>Maria Radomirska</cp:lastModifiedBy>
  <cp:revision>4</cp:revision>
  <cp:lastPrinted>2022-11-15T10:58:00Z</cp:lastPrinted>
  <dcterms:created xsi:type="dcterms:W3CDTF">2023-10-27T13:41:00Z</dcterms:created>
  <dcterms:modified xsi:type="dcterms:W3CDTF">2023-10-30T08:39:00Z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0x010100E6F4881431301648B3F51FC6C4D6D2BD</vt:lpwstr>
  </property>
  <property fmtid="{D5CDD505-2E9C-101B-9397-08002B2CF9AE}" pid="3" name="MediaServiceImageTags">
    <vt:lpwstr/>
  </property>
</Properties>
</file>