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07BF" w14:textId="77777777" w:rsidR="00F3415E" w:rsidRPr="00F3415E" w:rsidRDefault="00F3415E" w:rsidP="00F610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Д О Г О В О </w:t>
      </w:r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 №</w:t>
      </w:r>
      <w:proofErr w:type="gram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……</w:t>
      </w:r>
    </w:p>
    <w:p w14:paraId="59FEED7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покупко-продажба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програма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количества</w:t>
      </w:r>
      <w:proofErr w:type="spellEnd"/>
    </w:p>
    <w:p w14:paraId="23E81E0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AD5F1A7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г.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София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1CA46318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97A57D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1. “БУЛГАРГАЗ” ЕАД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седалище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управление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София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 “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Парчевич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” № 47,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вписано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регистър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ЕИК 175203485,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представлявано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…………………………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Изпълнителен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директор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по-долу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краткост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наричано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“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”,</w:t>
      </w:r>
    </w:p>
    <w:p w14:paraId="158A0325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и</w:t>
      </w:r>
    </w:p>
    <w:p w14:paraId="6AA762F4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2. “……………………………………….” ………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с ЕИК ……………………,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седалище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управление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“………………………….” № ….,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представлявано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………………..</w:t>
      </w:r>
    </w:p>
    <w:p w14:paraId="328C138B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......................... - .............................................,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по-долу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краткост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наричано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“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”</w:t>
      </w:r>
    </w:p>
    <w:p w14:paraId="42D67A5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921047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наричани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също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поотделно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“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”, а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заедно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“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”,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сключиха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(„</w:t>
      </w:r>
      <w:proofErr w:type="spellStart"/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42B562C2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39A8D49" w14:textId="77777777" w:rsidR="00F3415E" w:rsidRPr="00F3415E" w:rsidRDefault="00F3415E" w:rsidP="00F6106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bookmark15"/>
      <w:r w:rsidRPr="00F3415E">
        <w:rPr>
          <w:rFonts w:ascii="Arial" w:eastAsia="Times New Roman" w:hAnsi="Arial" w:cs="Arial"/>
          <w:color w:val="0782C1"/>
          <w:sz w:val="20"/>
          <w:szCs w:val="20"/>
          <w:bdr w:val="dotted" w:sz="6" w:space="0" w:color="0000FF" w:frame="1"/>
        </w:rPr>
        <w:t>ДЕФИНИЦИИ</w:t>
      </w:r>
      <w:bookmarkEnd w:id="0"/>
    </w:p>
    <w:p w14:paraId="1B2AF713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изброените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по-долу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дефиниции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значение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5A55474D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„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 -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мерна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единица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налягане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СИ,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равняваща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100 000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49D460B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Горна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граница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топлина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изгаряне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“ 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топлина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отделена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пълното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изгаряне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константна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температура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298.15 К (25°C)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кубичен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измерен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стандартни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293.15 К (20°C),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цялата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вода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формира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горенето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кондензира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референтната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температура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Изразява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kWh;</w:t>
      </w:r>
      <w:proofErr w:type="gramEnd"/>
    </w:p>
    <w:p w14:paraId="7094CB24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 –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състояща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предимно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газопроводи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високо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налягане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16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съоръженията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тях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технологичен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режим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14:paraId="1742184B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„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 -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време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започващ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07</w:t>
      </w:r>
      <w:r w:rsidRPr="00F3415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00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календарен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приключващ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07</w:t>
      </w:r>
      <w:r w:rsidRPr="00F3415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00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календарен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14:paraId="5DAAC498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”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”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представлява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въглеводороди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състояща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главно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метан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негорими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компоненти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намиращи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газообразно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състояние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обработена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транспортиране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газопровод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7B44E2C4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Мегават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час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”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“MWh”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енергията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генерирана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консумирана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постоянно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натоварване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(1) MWh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време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(1)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1CBC7A75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“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Оператор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”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оператор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осъществява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отговаря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нейната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експлоатация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поддръжка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развитие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дадена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територия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взаимосвързаните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ѝ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други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05B29AB9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”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време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състоящ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24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двадесет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четири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последователни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07:00 ч.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всеки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календарен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07:00 ч.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календарен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местно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българско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време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2FE651DF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Пункт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”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мястото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собственост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риска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загуби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влошаването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качествените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характеристики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доставян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всяка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конкретна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виртуална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(ВТТ)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…………….</w:t>
      </w:r>
    </w:p>
    <w:p w14:paraId="31DFA75D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„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Програма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чл.176а, ал.1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енергетиката</w:t>
      </w:r>
      <w:proofErr w:type="spellEnd"/>
    </w:p>
    <w:p w14:paraId="6C245BF8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„GRP </w:t>
      </w:r>
      <w:proofErr w:type="spellStart"/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сегмент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  </w:t>
      </w:r>
      <w:proofErr w:type="spellStart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отделен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пазарен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сегмент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организирания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борсов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пазар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който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търгуват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14:paraId="49E93A58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„</w:t>
      </w:r>
      <w:proofErr w:type="spellStart"/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Оператор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сертифициран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енергетиката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оператор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притежател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лицензия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издадена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КЕВР;</w:t>
      </w:r>
    </w:p>
    <w:p w14:paraId="1370288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„</w:t>
      </w:r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ГМТП“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–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транзитен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14:paraId="50D04FE3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„</w:t>
      </w:r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НГПМ“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–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национална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14:paraId="629586D0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„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Споразумение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изпълнение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означава</w:t>
      </w:r>
      <w:proofErr w:type="spellEnd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споразумението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176а, ал.2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енергетиката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D61C11E" w14:textId="77777777" w:rsidR="00F3415E" w:rsidRPr="00F3415E" w:rsidRDefault="00F3415E" w:rsidP="00F61066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„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Виртуална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(ВТТ</w:t>
      </w:r>
      <w:proofErr w:type="gram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)“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е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нефизическа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регистрираните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ползватели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виртуалната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могат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собствеността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</w:p>
    <w:p w14:paraId="4A3A506C" w14:textId="77777777" w:rsidR="00F3415E" w:rsidRPr="00F3415E" w:rsidRDefault="00F3415E" w:rsidP="00F61066">
      <w:pPr>
        <w:spacing w:before="100" w:beforeAutospacing="1" w:after="100" w:afterAutospacing="1" w:line="240" w:lineRule="auto"/>
        <w:ind w:left="38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A2C25BD" w14:textId="77777777" w:rsidR="00F3415E" w:rsidRPr="00F3415E" w:rsidRDefault="00F3415E" w:rsidP="00F61066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bookmark16"/>
      <w:r w:rsidRPr="00F3415E">
        <w:rPr>
          <w:rFonts w:ascii="Arial" w:eastAsia="Times New Roman" w:hAnsi="Arial" w:cs="Arial"/>
          <w:color w:val="0782C1"/>
          <w:sz w:val="20"/>
          <w:szCs w:val="20"/>
          <w:bdr w:val="dotted" w:sz="6" w:space="0" w:color="0000FF" w:frame="1"/>
        </w:rPr>
        <w:t>ПРЕДМЕТ НА ДОГОВОРА И ПУНКТ НА ПРЕДАВАНЕ – ПРИЕМАНЕ</w:t>
      </w:r>
      <w:bookmarkEnd w:id="1"/>
    </w:p>
    <w:p w14:paraId="4AB089B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2.1.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съобразно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неразделна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срещу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71A02B50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2.2.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предаване-приемане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–  ВТТ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……………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наричан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“.</w:t>
      </w:r>
    </w:p>
    <w:p w14:paraId="28AA833E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07999A5" w14:textId="77777777" w:rsidR="00F3415E" w:rsidRPr="00F3415E" w:rsidRDefault="00F3415E" w:rsidP="00F610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 НА ДОГОВОРА</w:t>
      </w:r>
    </w:p>
    <w:p w14:paraId="44082AA7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3.1.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влиза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сила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неговото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подписване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07</w:t>
      </w:r>
      <w:r w:rsidRPr="00F3415E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00 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….г.</w:t>
      </w:r>
      <w:proofErr w:type="gramEnd"/>
    </w:p>
    <w:p w14:paraId="08592F19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070912C" w14:textId="77777777" w:rsidR="00F3415E" w:rsidRPr="00F3415E" w:rsidRDefault="00F3415E" w:rsidP="00F6106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 ЗА ДОСТАВКА</w:t>
      </w:r>
    </w:p>
    <w:p w14:paraId="597E1C93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4.1.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подписването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съгласуват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(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№2)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потвърдените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проведените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съдържа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561B1A34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-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които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(MWh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);</w:t>
      </w:r>
      <w:proofErr w:type="gramEnd"/>
    </w:p>
    <w:p w14:paraId="68C91ED2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дневното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(ДДК)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всеки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определя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раздели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броя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закръглено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третия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знак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полученото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ДДК,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умножено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броя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корекция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ДДК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последния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06B047A4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4.2.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трябва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които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закупил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начин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GRP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сегмента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полученото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потвърждение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GRP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сегмент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платформа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Газов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Хъб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Балкан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“ ЕАД,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провеждането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3B920E4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4.3.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длъжен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осигурява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надвишава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ДДК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4.1.</w:t>
      </w:r>
    </w:p>
    <w:p w14:paraId="602F9B2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4.4.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гарантиране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сигурността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продуктите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търговете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предназначени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покупка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крайни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снабдители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клиенти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присъединени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декларира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предназначени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№4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D5FF63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4.5. 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провеждане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последващи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сключва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допълнително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споразумение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ведно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отговаряща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изискванията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4.1.</w:t>
      </w:r>
    </w:p>
    <w:p w14:paraId="05758E06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9D64131" w14:textId="77777777" w:rsidR="00F3415E" w:rsidRPr="00F3415E" w:rsidRDefault="00F3415E" w:rsidP="00F61066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ПРЕДАВАНЕ И ПРИЕМАНЕ. РИСК. ЗАЯВЯВАНЕ И ОТЧИТАНЕ НА ГАЗА</w:t>
      </w:r>
    </w:p>
    <w:p w14:paraId="7B8FB370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5.1.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Предаването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приемането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52E3CA3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5.2.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Счита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собствеността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рискът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погиване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7D0B96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5.3.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Определянето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осъществява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съгласуваните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4.1 и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задължителен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7.11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D658B11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5.4.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отразява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(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3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Месечният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съдържа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информация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съгласувани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неприети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7.4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B95058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5.5.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съставя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изпраща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електронна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5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потвърждаване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данни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Оператора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F02241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5.6. 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може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предлага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изменение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съгласувани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4.1.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годишна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дневна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02EB58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5.7.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подават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сделка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смисъла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Правилата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балансиране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пазара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Сделка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Оператора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4.1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AF6167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DC7BB34" w14:textId="77777777" w:rsidR="00F3415E" w:rsidRPr="00F3415E" w:rsidRDefault="00F3415E" w:rsidP="00F61066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ЦЕНА, СРОК И НАЧИН НА ПЛАЩАНЕ</w:t>
      </w:r>
    </w:p>
    <w:p w14:paraId="42657EA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определя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енергетиката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Споразумението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лева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Мегаватчас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(MWh).</w:t>
      </w:r>
    </w:p>
    <w:p w14:paraId="4AB982F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6.2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начислява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акциз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9E15E6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6.3. 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кредитни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известия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електронна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информация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посочена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т. 8.2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изтича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неработен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последващ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5F02D4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6.4.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издадените</w:t>
      </w:r>
      <w:proofErr w:type="spellEnd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начините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посочени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т. 6.11.,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6.12.</w:t>
      </w:r>
    </w:p>
    <w:p w14:paraId="4A05C0A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6.5. 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по-късно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10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началото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6.11.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липса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такива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посочения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6.12.</w:t>
      </w:r>
    </w:p>
    <w:p w14:paraId="59BD9C6A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6.6.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превод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посочена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т. 8.2.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може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променена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изрично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двете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щатски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долари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използва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валутният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курс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обявен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валиден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предходния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5A267A1B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6.7. 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Когато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платежното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нареждане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посочена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конкретна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погасяването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76,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1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127315B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6.8.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Когато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платежното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нареждане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посочена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конкретна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получения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превод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погасява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главницата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а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остатъка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намалява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неустойката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79D37D7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6.9. 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падеж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друг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първичен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документ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6.11,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6.12 е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неработен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падежът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документа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измества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предвидения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6.11,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6.12.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заверяване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55740D65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6.10. 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заверяването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уговорените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неустойка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lastRenderedPageBreak/>
        <w:t>лихва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върху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неиздължената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целия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забавата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включително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окончателното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032B0CF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3B5DC3B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6.11.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предоставено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обезпечение</w:t>
      </w:r>
      <w:proofErr w:type="spellEnd"/>
    </w:p>
    <w:p w14:paraId="42CE6D8B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6.11.1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гарантиране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обезпечение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 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форми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044D4A7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а)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парична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242F3A7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Внасянето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лева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удостоверява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заверяването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платежното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нареждане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основание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записва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обезпечаващ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№ 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…“</w:t>
      </w:r>
      <w:proofErr w:type="gramEnd"/>
    </w:p>
    <w:p w14:paraId="42E36CC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лихви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времето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престояла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него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нито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каквито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допълнителни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такси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разноски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други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свързани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9D1F8CC" w14:textId="77777777" w:rsidR="00F3415E" w:rsidRPr="00F3415E" w:rsidRDefault="00F3415E" w:rsidP="00F6106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б)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открита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образец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</w:t>
      </w:r>
      <w:proofErr w:type="gram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1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77427B67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            </w:t>
      </w: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в)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друга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форма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ликвидно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обезпечение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4C8521B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по-късно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10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началото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30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тридесет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изтичане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последния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A6A662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покрива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най-голямата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2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умножена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предложена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включен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ДДС.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актуализира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последващи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EDCF03B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6.11.3.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трябва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безусловна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неотменима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възможност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усвои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изцяло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съдържа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–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безусловно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5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искане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изплатил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неустойки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обезщетения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CF8E50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6.11.4.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усвояване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изцяло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възстанови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действащата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пълния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6.11.1. и 6.11.2.,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5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считано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усвояването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376C5A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искане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може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договорят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изцяло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частично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възстановяване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6.11.2.</w:t>
      </w:r>
    </w:p>
    <w:p w14:paraId="3E88C95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6.11.5.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Разходите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откриването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тяхното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подновяване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усвояване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Всички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разходи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направени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във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връзка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усвояване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фактурират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отделно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   </w:t>
      </w:r>
    </w:p>
    <w:p w14:paraId="20A1FC1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6.11.6.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9-то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151734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6.11.7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издадената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6.11.6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12-то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CC0FC2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6.11.8.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заплатил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12-то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пристъпва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усвояване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2956FC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6.11.9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падежа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заверяване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банката-издател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неустойка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забава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9EF13C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3D79F7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6.12. 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без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предоставено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обезпечение</w:t>
      </w:r>
      <w:proofErr w:type="spellEnd"/>
    </w:p>
    <w:p w14:paraId="220E68C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6.12.1.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5-то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съгласуваните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 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</w:t>
      </w:r>
      <w:proofErr w:type="gram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2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1DD7A45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6.12.1,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по-късно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12-то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фактурираната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продължаване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74C880F5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6.12.2.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9-то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кредитно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известие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7.3. и т. 7.4.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Стойността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фактурата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12-то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B0831A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4660793" w14:textId="77777777" w:rsidR="00F3415E" w:rsidRPr="00F3415E" w:rsidRDefault="00F3415E" w:rsidP="00F6106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ПРЕКРАТЯВАНЕ НА ДОГОВОРА. САНКЦИИ. СПЕЦИАЛНИ УСЛОВИЯ</w:t>
      </w:r>
    </w:p>
    <w:p w14:paraId="293D4A7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2F5DF28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а)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изтичане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422DC2D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б)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анулиране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Сделката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70997D5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поради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виновно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неизпълнение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някоя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изправната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отправя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покана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неизправната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подходящ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предупреждава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неизпълнение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дадения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счита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развален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Развалянето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занапред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B6B33E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Всяка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едностранно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10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дневно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предизвестие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постигнато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подписано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допълнителното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споразумение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предложено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8.4.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считано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който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изтича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предизвестието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AB2D399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7.3.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носи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отговорност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недоставените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вследствие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696C74A3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преустановяване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определени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00C38C2D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ограничаване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преустановяване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поради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независещи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обстоятелства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настъпили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територията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68E55098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въведен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ограничителен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режим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4051C48A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временно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ограничаване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прекъсване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снабдяването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Оператора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BEDC7F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7.4. 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неприемане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ДДК,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включително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анулиране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заявка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Сделката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всеки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неприемане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ДДК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допълнително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20%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неприетото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C1CFC7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7.5. 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7.4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изчисляват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F0D26E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7.6.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7.5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допълнително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(УДП).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УДП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сроковете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6.11 и 6.12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6998FE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7.7.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забава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7.6,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лихва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всеки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просрочен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C328F07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7.8.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5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дневно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предизвестие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забавил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повече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7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седем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AA5A78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7.9.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незабавно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откриване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производство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несъстоятелност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обявяването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несъстоятелност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ликвидация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019CC47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7.10.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клаузите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прилагат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окончателно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всички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настъпили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както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окончателното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решаване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всички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разногласия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възникнали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периода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неговото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8BE8387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7.11. 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забава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непредставяне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преустанови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FC8B3AD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7.12. 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предприемане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мерките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7.11,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най-малко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48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четиридесет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осем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въвеждането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1A1C152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7.13.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т. 7.11,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възстановява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5825FF3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5A7BC1A" w14:textId="77777777" w:rsidR="00F3415E" w:rsidRPr="00F3415E" w:rsidRDefault="00F3415E" w:rsidP="00F6106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ОБЩИ РАЗПОРЕДБИ.</w:t>
      </w:r>
    </w:p>
    <w:p w14:paraId="4EE80E95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8.1.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Всички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спорове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изпълнението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включително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породени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отнасящи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неговото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тълкуване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недействителност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прекратяване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както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споровете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попълване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празноти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приспособяването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нововъзникнали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обстоятелства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трябва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решат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преговори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невъзможност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разрешаване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споровете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преговори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подлежат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разглеждане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решаване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компетентния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български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София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7843B80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8.2.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контакт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кореспонденция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66EB8161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lastRenderedPageBreak/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Булгаргаз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 ЕАД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73CF44F2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София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Парчевич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“ №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47,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п.к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 1000</w:t>
      </w:r>
    </w:p>
    <w:p w14:paraId="7194E887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+359 2 935 89 87</w:t>
      </w:r>
    </w:p>
    <w:p w14:paraId="78A9838B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+359 2 925 03 94</w:t>
      </w:r>
    </w:p>
    <w:p w14:paraId="1A28591E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………………………………………….</w:t>
      </w:r>
    </w:p>
    <w:p w14:paraId="18EFA3DA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депозит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): 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……………………….</w:t>
      </w:r>
    </w:p>
    <w:p w14:paraId="3C6D8E67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e-mail: </w:t>
      </w:r>
      <w:hyperlink r:id="rId7" w:history="1">
        <w:r w:rsidRPr="00F3415E">
          <w:rPr>
            <w:rFonts w:ascii="Arial" w:eastAsia="Times New Roman" w:hAnsi="Arial" w:cs="Arial"/>
            <w:color w:val="0782C1"/>
            <w:sz w:val="20"/>
            <w:szCs w:val="20"/>
            <w:u w:val="single"/>
          </w:rPr>
          <w:t>infogaz@bulgargaz.bg</w:t>
        </w:r>
      </w:hyperlink>
    </w:p>
    <w:p w14:paraId="51FCE5B3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E04ED86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„…………………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………..“ ………</w:t>
      </w:r>
    </w:p>
    <w:p w14:paraId="4E19244A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</w:t>
      </w:r>
    </w:p>
    <w:p w14:paraId="35921967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</w:p>
    <w:p w14:paraId="40E55B2F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Факс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…………</w:t>
      </w:r>
    </w:p>
    <w:p w14:paraId="39E800F4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сметка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……………………………………………</w:t>
      </w:r>
    </w:p>
    <w:p w14:paraId="1479532E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e-mail: …………………………………….</w:t>
      </w:r>
    </w:p>
    <w:p w14:paraId="0D78CA94" w14:textId="77777777" w:rsidR="00F3415E" w:rsidRPr="00F3415E" w:rsidRDefault="00F3415E" w:rsidP="00F61066">
      <w:pPr>
        <w:spacing w:before="100" w:beforeAutospacing="1" w:after="100" w:afterAutospacing="1" w:line="240" w:lineRule="auto"/>
        <w:ind w:left="1361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контакт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………………………...</w:t>
      </w:r>
    </w:p>
    <w:p w14:paraId="6E005273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8.3.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Всяка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длъжна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3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промяна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данните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описани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т. 8.2,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другата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D67F8F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8.4.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може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предложи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изменения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обусловени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промяна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закупуване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съхранение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изменения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действащата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нормативна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уредба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уведомява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новите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Уведомлението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изпраща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по-късно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30 (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тридесет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прилагат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новите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заедно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проект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допълнително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споразумение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регламентиращо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новите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8C6166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8.5.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необходимост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капацитет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вследствие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закупуване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GRP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сегмента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кореспондиращия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капацитет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Клиента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закупил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Прехвърлянето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сключване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вторична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сделка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капацитет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спазвайки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процедурите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предвидени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7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хармонизирания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достъп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пренос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Булгартрансгаз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“ ЕАД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резервирането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първичния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пазар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Булгаргаз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“ ЕАД,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прехвърляне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предвидения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капацитет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„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механизма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връщане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договорен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капацитет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”,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регламентиран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Процедурите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управление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претоварването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претоварване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механизма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извършват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посредством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функционалностите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регионалната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платформа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резервиране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капацитет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– RBP.</w:t>
      </w:r>
    </w:p>
    <w:p w14:paraId="225774D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8.6.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крайните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снабдители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клиентите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присъединени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приели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по-малко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минималното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годишно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вече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сключен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пункт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„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Булгаргаз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“ ЕАД,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изисква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неприетото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освобождаване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02A581D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8.7.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неуредените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въпроси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прилагат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разпоредбите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действащото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законодателство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3831B9D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8.8.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Неразделна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приложения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17C73007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F8A35CA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1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–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Образец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043E5789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2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програма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66B0CB61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3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-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Образец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акт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;</w:t>
      </w:r>
      <w:proofErr w:type="gramEnd"/>
    </w:p>
    <w:p w14:paraId="27773350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4</w:t>
      </w: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–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Декларация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мрежа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която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предназначени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закупените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количества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2F84D3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AB6356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B2C94A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84EABE5" w14:textId="77777777" w:rsidR="00F3415E" w:rsidRPr="00F3415E" w:rsidRDefault="00F3415E" w:rsidP="00F61066">
      <w:pPr>
        <w:spacing w:before="100" w:beforeAutospacing="1" w:after="100" w:afterAutospacing="1" w:line="240" w:lineRule="auto"/>
        <w:ind w:left="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Купувач:                                                                             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2D254E01" w14:textId="519BE367" w:rsid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46FD011" w14:textId="308DFA5D" w:rsidR="00053E22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51CA81A0" w14:textId="60DBA7AC" w:rsidR="00053E22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5BC5570" w14:textId="05268F5E" w:rsidR="00053E22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356CF48" w14:textId="245AD799" w:rsidR="00053E22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C0DC546" w14:textId="4755ED37" w:rsidR="00053E22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67A2834" w14:textId="22AA3A03" w:rsidR="00053E22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780406E" w14:textId="0E34C246" w:rsidR="0029017C" w:rsidRDefault="0029017C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90DAE81" w14:textId="77777777" w:rsidR="0029017C" w:rsidRDefault="0029017C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CB9E8B6" w14:textId="77777777" w:rsidR="00053E22" w:rsidRPr="00F3415E" w:rsidRDefault="00053E22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B2E3FBA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lastRenderedPageBreak/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1</w:t>
      </w:r>
    </w:p>
    <w:p w14:paraId="084F815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D228880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БАНКОВА ГАРАНЦИЯ № .................</w:t>
      </w:r>
    </w:p>
    <w:p w14:paraId="60DB8DC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1DB387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................................,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........................................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сме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уведомени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между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“БУЛГАРГАЗ” ЕАД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седалище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управление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София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 “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Петър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Парчевич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” № 47,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вписано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регистър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ЕИК 175203485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Доставчик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“.........................................................“........,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седалище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управление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.......................................................................................,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вписано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регистър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ЕИК ..................................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му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сключен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№ ......../........................ г.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32118B37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съответствие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във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Ваша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61684F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изпълнение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............................................., 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........................................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задължаваме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неотменяемо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безусловно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безрезервно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независимо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валидността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действието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горепосочения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както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възраженията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трети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платим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“БУЛГАРГАЗ” ЕАД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първо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Ваше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поискване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срок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по-късно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5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работни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всяка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ненадвишаващи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общ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максимален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размер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….............................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лева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(...................................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словом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),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получаване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надлежно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подписано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подпечатано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искане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предоставено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представляващо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"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Булгаргаз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" ЕАД,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деклариращо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"........................................................................"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заплатил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Булгаргаз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"ЕАД"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число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суми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дължими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неустойки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обезщетения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8F8A6B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оглед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установяване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автентичността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Вашето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писмено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искане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същото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представено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посредничеството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централата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обслужващата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потвърждаваща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верността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положените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подписи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6218FC7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влиза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сила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й,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валидна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.,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т.е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изтича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изцяло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автоматично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случай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1600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часа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година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искането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предявено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горепосочените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условия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постъпило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адрес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..........................................................................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ангажиментът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обезсилва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независимо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оригиналът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върнат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095AD7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отнася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лично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като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всякакви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искания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плащане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нея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могат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бъдат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заложени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прехвърлени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трето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лице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единствено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получаване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наше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изрично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предварително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съгласие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592BB45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може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освободена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изтичане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валидността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й,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само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връщане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оригинала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.................................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Валидно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тази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банкова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гаранция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е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законодателството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7CB199A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461BDF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Търговска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Банка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................................ (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подпис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и </w:t>
      </w:r>
      <w:proofErr w:type="spellStart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печат</w:t>
      </w:r>
      <w:proofErr w:type="spellEnd"/>
      <w:r w:rsidRPr="00F3415E">
        <w:rPr>
          <w:rFonts w:ascii="Arial" w:eastAsia="Times New Roman" w:hAnsi="Arial" w:cs="Arial"/>
          <w:b/>
          <w:bCs/>
          <w:color w:val="333333"/>
          <w:sz w:val="20"/>
          <w:szCs w:val="20"/>
        </w:rPr>
        <w:t>)</w:t>
      </w:r>
    </w:p>
    <w:p w14:paraId="74C2970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8280A7B" w14:textId="77777777" w:rsidR="00F3415E" w:rsidRPr="00F3415E" w:rsidRDefault="00F3415E" w:rsidP="00F61066">
      <w:pPr>
        <w:spacing w:before="100" w:beforeAutospacing="1" w:after="100" w:afterAutospacing="1" w:line="240" w:lineRule="auto"/>
        <w:ind w:left="648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 2</w:t>
      </w:r>
    </w:p>
    <w:tbl>
      <w:tblPr>
        <w:tblW w:w="838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215"/>
        <w:gridCol w:w="959"/>
        <w:gridCol w:w="1205"/>
        <w:gridCol w:w="1205"/>
        <w:gridCol w:w="1205"/>
        <w:gridCol w:w="1205"/>
      </w:tblGrid>
      <w:tr w:rsidR="00F3415E" w:rsidRPr="00F3415E" w14:paraId="7CC7D7AC" w14:textId="77777777" w:rsidTr="00F3415E">
        <w:trPr>
          <w:trHeight w:val="375"/>
          <w:tblCellSpacing w:w="0" w:type="dxa"/>
        </w:trPr>
        <w:tc>
          <w:tcPr>
            <w:tcW w:w="8385" w:type="dxa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26FA1B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6955CD7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1BB7A75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6F9BAA64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41E4ACD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ПРОГРАМА ЗА ДОСТАВКА</w:t>
            </w:r>
          </w:p>
        </w:tc>
      </w:tr>
      <w:tr w:rsidR="00F3415E" w:rsidRPr="00F3415E" w14:paraId="2283AE72" w14:textId="77777777" w:rsidTr="00F3415E">
        <w:trPr>
          <w:trHeight w:val="375"/>
          <w:tblCellSpacing w:w="0" w:type="dxa"/>
        </w:trPr>
        <w:tc>
          <w:tcPr>
            <w:tcW w:w="8385" w:type="dxa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A9CF5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към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Договор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 №</w:t>
            </w:r>
            <w:proofErr w:type="gram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                -                  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за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доставка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на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природен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газ</w:t>
            </w:r>
            <w:proofErr w:type="spellEnd"/>
          </w:p>
        </w:tc>
      </w:tr>
      <w:tr w:rsidR="00F3415E" w:rsidRPr="00F3415E" w14:paraId="07643625" w14:textId="77777777" w:rsidTr="00F3415E">
        <w:trPr>
          <w:trHeight w:val="375"/>
          <w:tblCellSpacing w:w="0" w:type="dxa"/>
        </w:trPr>
        <w:tc>
          <w:tcPr>
            <w:tcW w:w="8385" w:type="dxa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C8189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Купувач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име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: …………………………………………………………………</w:t>
            </w:r>
          </w:p>
        </w:tc>
      </w:tr>
      <w:tr w:rsidR="00F3415E" w:rsidRPr="00F3415E" w14:paraId="3A62CB9A" w14:textId="77777777" w:rsidTr="00F3415E">
        <w:trPr>
          <w:trHeight w:val="375"/>
          <w:tblCellSpacing w:w="0" w:type="dxa"/>
        </w:trPr>
        <w:tc>
          <w:tcPr>
            <w:tcW w:w="8385" w:type="dxa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7DE26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1A04029B" w14:textId="77777777" w:rsidTr="00F3415E">
        <w:trPr>
          <w:trHeight w:val="630"/>
          <w:tblCellSpacing w:w="0" w:type="dxa"/>
        </w:trPr>
        <w:tc>
          <w:tcPr>
            <w:tcW w:w="39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29B26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№</w:t>
            </w: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по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ред</w:t>
            </w:r>
            <w:proofErr w:type="spellEnd"/>
          </w:p>
        </w:tc>
        <w:tc>
          <w:tcPr>
            <w:tcW w:w="273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AE02F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ПОКАЗАТЕЛ</w:t>
            </w:r>
          </w:p>
        </w:tc>
        <w:tc>
          <w:tcPr>
            <w:tcW w:w="5250" w:type="dxa"/>
            <w:gridSpan w:val="5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B5A19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СЪГЛАСУВАНИ КОЛИЧЕСТВА ПРИРОДЕН ГАЗ В ПРЕДАВАНЕ-ПРИЕМАНЕ - ……………</w:t>
            </w:r>
            <w:proofErr w:type="gram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…..</w:t>
            </w:r>
            <w:proofErr w:type="gramEnd"/>
          </w:p>
        </w:tc>
      </w:tr>
      <w:tr w:rsidR="00F3415E" w:rsidRPr="00F3415E" w14:paraId="143719D4" w14:textId="77777777" w:rsidTr="00F3415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E4C05D" w14:textId="77777777" w:rsidR="00F3415E" w:rsidRPr="00F3415E" w:rsidRDefault="00F3415E" w:rsidP="00F610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B47146" w14:textId="77777777" w:rsidR="00F3415E" w:rsidRPr="00F3415E" w:rsidRDefault="00F3415E" w:rsidP="00F610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6A5AD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20... г.</w:t>
            </w:r>
          </w:p>
        </w:tc>
        <w:tc>
          <w:tcPr>
            <w:tcW w:w="4305" w:type="dxa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2B4D0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т.ч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по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тримесечия</w:t>
            </w:r>
            <w:proofErr w:type="spellEnd"/>
          </w:p>
        </w:tc>
      </w:tr>
      <w:tr w:rsidR="00F3415E" w:rsidRPr="00F3415E" w14:paraId="33261B5D" w14:textId="77777777" w:rsidTr="00F3415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E69F67" w14:textId="77777777" w:rsidR="00F3415E" w:rsidRPr="00F3415E" w:rsidRDefault="00F3415E" w:rsidP="00F610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7DED89" w14:textId="77777777" w:rsidR="00F3415E" w:rsidRPr="00F3415E" w:rsidRDefault="00F3415E" w:rsidP="00F610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0E86AC" w14:textId="77777777" w:rsidR="00F3415E" w:rsidRPr="00F3415E" w:rsidRDefault="00F3415E" w:rsidP="00F610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514F8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</w:t>
            </w: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</w:rPr>
              <w:t>во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тримесечие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6495C2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II</w:t>
            </w: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</w:rPr>
              <w:t>ро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тримесечие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D1F14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III</w:t>
            </w: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</w:rPr>
              <w:t>то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тримесечие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229E7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IV</w:t>
            </w: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</w:rPr>
              <w:t>то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тримесечие</w:t>
            </w:r>
            <w:proofErr w:type="spellEnd"/>
          </w:p>
        </w:tc>
      </w:tr>
      <w:tr w:rsidR="00F3415E" w:rsidRPr="00F3415E" w14:paraId="3A829BC3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F49A5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D220D2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Природен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газ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/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общо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/ - MWh</w:t>
            </w:r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4205FB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EC6B64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E0A2C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D2C3F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B5336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F3415E" w:rsidRPr="00F3415E" w14:paraId="1FEE70D6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9E666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CB39B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т.ч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по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72C39B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</w:t>
            </w: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ви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C6D0C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44100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26A231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293BF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</w:tr>
      <w:tr w:rsidR="00F3415E" w:rsidRPr="00F3415E" w14:paraId="6FEB7243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6B901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84A89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446C9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II</w:t>
            </w: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ри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06BE7D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C68EE2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646D4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C0723E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</w:tr>
      <w:tr w:rsidR="00F3415E" w:rsidRPr="00F3415E" w14:paraId="20EF3716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8B67F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1FDFF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E00F3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III</w:t>
            </w: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ти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B5E224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B15B7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0EBCA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67ECA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</w:tr>
      <w:tr w:rsidR="00F3415E" w:rsidRPr="00F3415E" w14:paraId="624124FE" w14:textId="77777777" w:rsidTr="00F3415E">
        <w:trPr>
          <w:trHeight w:val="75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210E1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2.</w:t>
            </w: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26BD62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Договорено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дневно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количество</w:t>
            </w:r>
            <w:proofErr w:type="spellEnd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/ДДК/ - MWh/</w:t>
            </w:r>
            <w:proofErr w:type="spellStart"/>
            <w:r w:rsidRPr="00F3415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ден</w:t>
            </w:r>
            <w:proofErr w:type="spellEnd"/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3C2C7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1F511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A37D5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0C6FA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24864E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269A8764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35092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ABFD3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т.ч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по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1D48A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</w:t>
            </w: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ви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78C7D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978481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C33D4D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13972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</w:tr>
      <w:tr w:rsidR="00F3415E" w:rsidRPr="00F3415E" w14:paraId="3CB1CFD8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48C11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24B7A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A60D6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II</w:t>
            </w: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ри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5E22A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645DE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7221DB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89B35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</w:tr>
      <w:tr w:rsidR="00F3415E" w:rsidRPr="00F3415E" w14:paraId="3E8EBBE4" w14:textId="77777777" w:rsidTr="00F3415E">
        <w:trPr>
          <w:trHeight w:val="330"/>
          <w:tblCellSpacing w:w="0" w:type="dxa"/>
        </w:trPr>
        <w:tc>
          <w:tcPr>
            <w:tcW w:w="3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7F770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04F33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F2A7D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III</w:t>
            </w: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ти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1DEBC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EAF0C2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23168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1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24CB0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0.000</w:t>
            </w:r>
          </w:p>
        </w:tc>
      </w:tr>
    </w:tbl>
    <w:p w14:paraId="04CAF193" w14:textId="77777777" w:rsidR="00F3415E" w:rsidRPr="00F3415E" w:rsidRDefault="00F3415E" w:rsidP="00F6106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8A23C6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2F4883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A19D056" w14:textId="77777777" w:rsidR="00F3415E" w:rsidRPr="00F3415E" w:rsidRDefault="00F3415E" w:rsidP="00F6106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B5A5BD8" w14:textId="77777777" w:rsidR="00F3415E" w:rsidRPr="00F3415E" w:rsidRDefault="00F3415E" w:rsidP="00F6106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4824DE6" w14:textId="77777777" w:rsidR="00F3415E" w:rsidRPr="00F3415E" w:rsidRDefault="00F3415E" w:rsidP="00F6106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5F367F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5E9434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0C6EA10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 3</w:t>
      </w:r>
    </w:p>
    <w:p w14:paraId="5A0E378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E7566C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8F58CC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М Е С Е Ч Е Н    А К Т</w:t>
      </w:r>
    </w:p>
    <w:p w14:paraId="6F25B0A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месец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……… ………г.</w:t>
      </w:r>
    </w:p>
    <w:p w14:paraId="13F645F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№ ……. - </w:t>
      </w:r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…</w:t>
      </w:r>
      <w:proofErr w:type="gram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(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име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Купувач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)…..</w:t>
      </w:r>
    </w:p>
    <w:p w14:paraId="69E6EC2B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</w:t>
      </w:r>
    </w:p>
    <w:p w14:paraId="5AFF2CD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издаване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……………………….</w:t>
      </w:r>
    </w:p>
    <w:p w14:paraId="0A686B02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2DDEDF6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6FEE615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76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623"/>
        <w:gridCol w:w="1563"/>
        <w:gridCol w:w="1698"/>
        <w:gridCol w:w="1413"/>
      </w:tblGrid>
      <w:tr w:rsidR="00F3415E" w:rsidRPr="00F3415E" w14:paraId="78050B38" w14:textId="77777777" w:rsidTr="00F3415E">
        <w:trPr>
          <w:trHeight w:val="1275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DAD2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EFB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Код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на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Пункт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за</w:t>
            </w:r>
            <w:proofErr w:type="spellEnd"/>
          </w:p>
          <w:p w14:paraId="1690EF9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предаване-приемане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187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Съгласувано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количество</w:t>
            </w:r>
            <w:proofErr w:type="spellEnd"/>
          </w:p>
          <w:p w14:paraId="3C6C932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природен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газ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64943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Доставено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количество</w:t>
            </w:r>
            <w:proofErr w:type="spellEnd"/>
          </w:p>
          <w:p w14:paraId="0545601E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природен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газ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50B0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Неприети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количества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по</w:t>
            </w:r>
            <w:proofErr w:type="spellEnd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т. 7.4</w:t>
            </w:r>
          </w:p>
        </w:tc>
      </w:tr>
      <w:tr w:rsidR="00F3415E" w:rsidRPr="00F3415E" w14:paraId="78734463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50F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E3AE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5CD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(MWh)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24D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(MWh)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0FE94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(MWh)</w:t>
            </w:r>
          </w:p>
        </w:tc>
      </w:tr>
      <w:tr w:rsidR="00F3415E" w:rsidRPr="00F3415E" w14:paraId="48E5CAD9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374E2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…………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80A1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82EA1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1D6B1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15F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4B7121BE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B50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…………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CC34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7B2DE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CF88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68E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01D8BF89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411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…………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65C6E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EDF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8BAFA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9B16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172CC3C7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AB8B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…………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E19B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D20C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EEED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C866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0C5299F0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712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…………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A011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56D0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82A99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22E5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3415E" w:rsidRPr="00F3415E" w14:paraId="0CBDF120" w14:textId="77777777" w:rsidTr="00F3415E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517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F3415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Общо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4FA7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7D54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3DA2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5E84F" w14:textId="77777777" w:rsidR="00F3415E" w:rsidRPr="00F3415E" w:rsidRDefault="00F3415E" w:rsidP="00F610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14:paraId="6DD81012" w14:textId="77777777" w:rsidR="00F3415E" w:rsidRPr="00F3415E" w:rsidRDefault="00F3415E" w:rsidP="00F6106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4ED6C44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35F2B9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51742BA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B6C2B10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FBCCA1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Продавач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                          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Купувач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…………………………                                           </w:t>
      </w:r>
    </w:p>
    <w:p w14:paraId="18A2E1C7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2C7354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F54C2E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1C71D3F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Приложение</w:t>
      </w:r>
      <w:proofErr w:type="spellEnd"/>
      <w:r w:rsidRPr="00F3415E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№ 4</w:t>
      </w:r>
    </w:p>
    <w:p w14:paraId="6EB9CC3B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8DCE52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D50BEF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ДЕКЛАРАЦИЯ</w:t>
      </w:r>
    </w:p>
    <w:p w14:paraId="1DBC19B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14:paraId="5432B295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…………………..</w:t>
      </w:r>
    </w:p>
    <w:p w14:paraId="37F9CDB4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С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цел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гарантиране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сигурността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доставките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страната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продуктите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търговете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предназначени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покупка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крайни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снабдители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и/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клиенти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присъединени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към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Република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България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декларирам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че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природния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настоящия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договор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ще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бъде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доставен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до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следните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/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точки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от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газопреносната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система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14:paraId="0555487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3CA8B93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</w:t>
      </w:r>
    </w:p>
    <w:p w14:paraId="7C5947A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</w:t>
      </w:r>
    </w:p>
    <w:p w14:paraId="081F269E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</w:t>
      </w:r>
    </w:p>
    <w:p w14:paraId="2E19379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Изходна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точка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</w:t>
      </w:r>
    </w:p>
    <w:p w14:paraId="18758A0C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………..</w:t>
      </w:r>
    </w:p>
    <w:p w14:paraId="703DB610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3415E">
        <w:rPr>
          <w:rFonts w:ascii="Arial" w:eastAsia="Times New Roman" w:hAnsi="Arial" w:cs="Arial"/>
          <w:color w:val="333333"/>
          <w:sz w:val="20"/>
          <w:szCs w:val="20"/>
        </w:rPr>
        <w:t>……….</w:t>
      </w:r>
    </w:p>
    <w:p w14:paraId="0A7E7D80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1A14A61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3AF2B88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4225AE0A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A9280DD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1665FD9" w14:textId="77777777" w:rsidR="00F3415E" w:rsidRPr="00F3415E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BD1B59C" w14:textId="5321512D" w:rsidR="004E7E6C" w:rsidRPr="00053E22" w:rsidRDefault="00F3415E" w:rsidP="00F610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Дата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 xml:space="preserve">: …………………….                                                     </w:t>
      </w:r>
      <w:proofErr w:type="spell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Подпис</w:t>
      </w:r>
      <w:proofErr w:type="spellEnd"/>
      <w:r w:rsidRPr="00F3415E">
        <w:rPr>
          <w:rFonts w:ascii="Arial" w:eastAsia="Times New Roman" w:hAnsi="Arial" w:cs="Arial"/>
          <w:color w:val="333333"/>
          <w:sz w:val="20"/>
          <w:szCs w:val="20"/>
        </w:rPr>
        <w:t>: ……………………</w:t>
      </w:r>
      <w:proofErr w:type="gramStart"/>
      <w:r w:rsidRPr="00F3415E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</w:p>
    <w:sectPr w:rsidR="004E7E6C" w:rsidRPr="00053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07E2F" w14:textId="77777777" w:rsidR="00617770" w:rsidRDefault="00617770" w:rsidP="00F3415E">
      <w:pPr>
        <w:spacing w:after="0" w:line="240" w:lineRule="auto"/>
      </w:pPr>
      <w:r>
        <w:separator/>
      </w:r>
    </w:p>
  </w:endnote>
  <w:endnote w:type="continuationSeparator" w:id="0">
    <w:p w14:paraId="3CA26057" w14:textId="77777777" w:rsidR="00617770" w:rsidRDefault="00617770" w:rsidP="00F3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D36BF" w14:textId="77777777" w:rsidR="00617770" w:rsidRDefault="00617770" w:rsidP="00F3415E">
      <w:pPr>
        <w:spacing w:after="0" w:line="240" w:lineRule="auto"/>
      </w:pPr>
      <w:r>
        <w:separator/>
      </w:r>
    </w:p>
  </w:footnote>
  <w:footnote w:type="continuationSeparator" w:id="0">
    <w:p w14:paraId="6E72DEC6" w14:textId="77777777" w:rsidR="00617770" w:rsidRDefault="00617770" w:rsidP="00F34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4C8"/>
    <w:multiLevelType w:val="multilevel"/>
    <w:tmpl w:val="A55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544C"/>
    <w:multiLevelType w:val="multilevel"/>
    <w:tmpl w:val="5B2C27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40C7"/>
    <w:multiLevelType w:val="multilevel"/>
    <w:tmpl w:val="99FE0F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C52E9"/>
    <w:multiLevelType w:val="multilevel"/>
    <w:tmpl w:val="09008F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B41A9"/>
    <w:multiLevelType w:val="multilevel"/>
    <w:tmpl w:val="464EB4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945A1"/>
    <w:multiLevelType w:val="multilevel"/>
    <w:tmpl w:val="E700A6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D3E99"/>
    <w:multiLevelType w:val="multilevel"/>
    <w:tmpl w:val="5EDEE1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D0F3B"/>
    <w:multiLevelType w:val="multilevel"/>
    <w:tmpl w:val="04D00B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F33A36"/>
    <w:multiLevelType w:val="multilevel"/>
    <w:tmpl w:val="E97E31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53E22"/>
    <w:rsid w:val="0029017C"/>
    <w:rsid w:val="003C13FD"/>
    <w:rsid w:val="005C15DC"/>
    <w:rsid w:val="00617770"/>
    <w:rsid w:val="00F3415E"/>
    <w:rsid w:val="00F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0694A4"/>
  <w15:chartTrackingRefBased/>
  <w15:docId w15:val="{035E53E4-B945-498C-9FDA-F312630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gaz@bulgargaz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3746</Words>
  <Characters>21355</Characters>
  <Application>Microsoft Office Word</Application>
  <DocSecurity>0</DocSecurity>
  <Lines>177</Lines>
  <Paragraphs>50</Paragraphs>
  <ScaleCrop>false</ScaleCrop>
  <Company/>
  <LinksUpToDate>false</LinksUpToDate>
  <CharactersWithSpaces>25051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Karabelov</dc:creator>
  <cp:keywords/>
  <dc:description/>
  <cp:lastModifiedBy>Dian Karabelov</cp:lastModifiedBy>
  <cp:revision>4</cp:revision>
  <dcterms:created xsi:type="dcterms:W3CDTF">2020-12-01T09:13:00Z</dcterms:created>
  <dcterms:modified xsi:type="dcterms:W3CDTF">2020-12-01T09:19:00Z</dcterms:modified>
</cp:coreProperties>
</file>